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4E0F0" w14:textId="77777777" w:rsidR="001C0CEC" w:rsidRDefault="001C0CEC" w:rsidP="001C0CEC">
      <w:pPr>
        <w:rPr>
          <w:noProof/>
        </w:rPr>
      </w:pPr>
      <w:r>
        <w:rPr>
          <w:noProof/>
          <w:lang w:val="en-GB" w:eastAsia="en-GB"/>
        </w:rPr>
        <w:drawing>
          <wp:inline distT="0" distB="0" distL="0" distR="0" wp14:anchorId="1C480327" wp14:editId="11ADBA40">
            <wp:extent cx="6429375" cy="5044413"/>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r="15030"/>
                    <a:stretch/>
                  </pic:blipFill>
                  <pic:spPr bwMode="auto">
                    <a:xfrm>
                      <a:off x="0" y="0"/>
                      <a:ext cx="6432015" cy="5046484"/>
                    </a:xfrm>
                    <a:prstGeom prst="rect">
                      <a:avLst/>
                    </a:prstGeom>
                    <a:noFill/>
                    <a:ln>
                      <a:noFill/>
                    </a:ln>
                    <a:extLst>
                      <a:ext uri="{53640926-AAD7-44D8-BBD7-CCE9431645EC}">
                        <a14:shadowObscured xmlns:a14="http://schemas.microsoft.com/office/drawing/2010/main"/>
                      </a:ext>
                    </a:extLst>
                  </pic:spPr>
                </pic:pic>
              </a:graphicData>
            </a:graphic>
          </wp:inline>
        </w:drawing>
      </w:r>
    </w:p>
    <w:p w14:paraId="12962D82" w14:textId="77777777" w:rsidR="005B789B" w:rsidRPr="001C0CEC" w:rsidRDefault="00254A6D" w:rsidP="005B789B">
      <w:pPr>
        <w:pStyle w:val="Title"/>
      </w:pPr>
      <w:r>
        <w:t>Practice PRIVACY NOTICE</w:t>
      </w:r>
    </w:p>
    <w:p w14:paraId="265C914C" w14:textId="57D10583" w:rsidR="001C0CEC" w:rsidRPr="00DF72DE" w:rsidRDefault="00254A6D" w:rsidP="001C0CEC">
      <w:pPr>
        <w:pStyle w:val="Subtitle"/>
      </w:pPr>
      <w:r>
        <w:t>Last update</w:t>
      </w:r>
      <w:r w:rsidR="006451F1">
        <w:t>d</w:t>
      </w:r>
      <w:r w:rsidR="003F4ACB">
        <w:t xml:space="preserve">: </w:t>
      </w:r>
      <w:r w:rsidR="00E929AC">
        <w:t>27</w:t>
      </w:r>
      <w:r w:rsidR="00E929AC" w:rsidRPr="00E929AC">
        <w:rPr>
          <w:vertAlign w:val="superscript"/>
        </w:rPr>
        <w:t>th</w:t>
      </w:r>
      <w:r w:rsidR="00E929AC">
        <w:t xml:space="preserve"> May</w:t>
      </w:r>
      <w:r w:rsidR="007870FE">
        <w:t xml:space="preserve"> 2026</w:t>
      </w:r>
      <w:r w:rsidR="006451F1">
        <w:t xml:space="preserve"> (v</w:t>
      </w:r>
      <w:r w:rsidR="00E929AC">
        <w:t>6</w:t>
      </w:r>
      <w:r w:rsidR="006451F1">
        <w:t>)</w:t>
      </w:r>
    </w:p>
    <w:sdt>
      <w:sdtPr>
        <w:rPr>
          <w:sz w:val="24"/>
          <w:szCs w:val="24"/>
        </w:rPr>
        <w:alias w:val="Abstract"/>
        <w:tag w:val="Abstract"/>
        <w:id w:val="1812897548"/>
        <w:placeholder>
          <w:docPart w:val="B45C0747C6D544B4BB3C4015E5B9A581"/>
        </w:placeholder>
        <w:dataBinding w:prefixMappings="xmlns:ns0='http://schemas.microsoft.com/office/2006/coverPageProps'" w:xpath="/ns0:CoverPageProperties[1]/ns0:Abstract[1]" w:storeItemID="{55AF091B-3C7A-41E3-B477-F2FDAA23CFDA}"/>
        <w:text w:multiLine="1"/>
      </w:sdtPr>
      <w:sdtEndPr/>
      <w:sdtContent>
        <w:p w14:paraId="483EC582" w14:textId="77777777" w:rsidR="001C0CEC" w:rsidRPr="009C7267" w:rsidRDefault="004C2677" w:rsidP="001C0CEC">
          <w:pPr>
            <w:pStyle w:val="Abstract"/>
            <w:rPr>
              <w:sz w:val="24"/>
              <w:szCs w:val="24"/>
            </w:rPr>
          </w:pPr>
          <w:r>
            <w:rPr>
              <w:sz w:val="24"/>
              <w:szCs w:val="24"/>
            </w:rPr>
            <w:t xml:space="preserve">This is a </w:t>
          </w:r>
          <w:r w:rsidR="005B789B">
            <w:rPr>
              <w:sz w:val="24"/>
              <w:szCs w:val="24"/>
            </w:rPr>
            <w:t>comprehensive</w:t>
          </w:r>
          <w:r w:rsidR="003D1A2C">
            <w:rPr>
              <w:sz w:val="24"/>
              <w:szCs w:val="24"/>
            </w:rPr>
            <w:t xml:space="preserve"> overview</w:t>
          </w:r>
          <w:r w:rsidR="009C7267" w:rsidRPr="009C7267">
            <w:rPr>
              <w:sz w:val="24"/>
              <w:szCs w:val="24"/>
            </w:rPr>
            <w:t xml:space="preserve"> on h</w:t>
          </w:r>
          <w:r w:rsidR="00254A6D" w:rsidRPr="009C7267">
            <w:rPr>
              <w:sz w:val="24"/>
              <w:szCs w:val="24"/>
            </w:rPr>
            <w:t xml:space="preserve">ow </w:t>
          </w:r>
          <w:r w:rsidR="000171FC">
            <w:rPr>
              <w:sz w:val="24"/>
              <w:szCs w:val="24"/>
            </w:rPr>
            <w:t xml:space="preserve">your </w:t>
          </w:r>
          <w:r w:rsidR="00254A6D" w:rsidRPr="009C7267">
            <w:rPr>
              <w:sz w:val="24"/>
              <w:szCs w:val="24"/>
            </w:rPr>
            <w:t>personal information is used by our General Pr</w:t>
          </w:r>
          <w:r w:rsidR="003F4ACB">
            <w:rPr>
              <w:sz w:val="24"/>
              <w:szCs w:val="24"/>
            </w:rPr>
            <w:t xml:space="preserve">actice, the NHS (National Health Service) </w:t>
          </w:r>
          <w:r w:rsidR="009C7267">
            <w:rPr>
              <w:sz w:val="24"/>
              <w:szCs w:val="24"/>
            </w:rPr>
            <w:t xml:space="preserve">and </w:t>
          </w:r>
          <w:r>
            <w:rPr>
              <w:sz w:val="24"/>
              <w:szCs w:val="24"/>
            </w:rPr>
            <w:t xml:space="preserve">our </w:t>
          </w:r>
          <w:r w:rsidR="009C7267">
            <w:rPr>
              <w:sz w:val="24"/>
              <w:szCs w:val="24"/>
            </w:rPr>
            <w:t>healthcare partner organisations</w:t>
          </w:r>
          <w:r w:rsidR="003D1A2C">
            <w:rPr>
              <w:sz w:val="24"/>
              <w:szCs w:val="24"/>
            </w:rPr>
            <w:t>.</w:t>
          </w:r>
          <w:r w:rsidR="005B789B">
            <w:rPr>
              <w:sz w:val="24"/>
              <w:szCs w:val="24"/>
            </w:rPr>
            <w:br/>
          </w:r>
          <w:r w:rsidR="005B789B">
            <w:rPr>
              <w:sz w:val="24"/>
              <w:szCs w:val="24"/>
            </w:rPr>
            <w:br/>
            <w:t>Please feel free to ask a member of our staff for separate leaflets on specific data privacy topics</w:t>
          </w:r>
          <w:r w:rsidR="00310C81">
            <w:rPr>
              <w:sz w:val="24"/>
              <w:szCs w:val="24"/>
            </w:rPr>
            <w:t xml:space="preserve"> such as our Data Privacy guidance for children</w:t>
          </w:r>
          <w:r w:rsidR="005B789B">
            <w:rPr>
              <w:sz w:val="24"/>
              <w:szCs w:val="24"/>
            </w:rPr>
            <w:t xml:space="preserve">. Our full contact details are </w:t>
          </w:r>
          <w:r w:rsidR="00310C81">
            <w:rPr>
              <w:sz w:val="24"/>
              <w:szCs w:val="24"/>
            </w:rPr>
            <w:t xml:space="preserve">included </w:t>
          </w:r>
          <w:r w:rsidR="005B789B">
            <w:rPr>
              <w:sz w:val="24"/>
              <w:szCs w:val="24"/>
            </w:rPr>
            <w:t>at the end of this document.</w:t>
          </w:r>
        </w:p>
      </w:sdtContent>
    </w:sdt>
    <w:sdt>
      <w:sdtPr>
        <w:rPr>
          <w:sz w:val="20"/>
        </w:rPr>
        <w:id w:val="1866023298"/>
        <w:docPartObj>
          <w:docPartGallery w:val="Table of Contents"/>
          <w:docPartUnique/>
        </w:docPartObj>
      </w:sdtPr>
      <w:sdtEndPr>
        <w:rPr>
          <w:b/>
          <w:bCs/>
          <w:noProof/>
        </w:rPr>
      </w:sdtEndPr>
      <w:sdtContent>
        <w:p w14:paraId="2B2BEF35" w14:textId="77777777" w:rsidR="00805D6D" w:rsidRDefault="00D41BE1" w:rsidP="001C0CEC">
          <w:pPr>
            <w:pStyle w:val="TOCHeading"/>
          </w:pPr>
          <w:r>
            <w:rPr>
              <w:sz w:val="20"/>
            </w:rPr>
            <w:br/>
          </w:r>
          <w:r>
            <w:br/>
          </w:r>
          <w:r w:rsidR="00027B3F">
            <w:t>Contents</w:t>
          </w:r>
        </w:p>
        <w:p w14:paraId="4F849C12" w14:textId="77777777" w:rsidR="000030F0" w:rsidRDefault="00027B3F">
          <w:pPr>
            <w:pStyle w:val="TOC1"/>
            <w:rPr>
              <w:rFonts w:eastAsiaTheme="minorEastAsia"/>
              <w:color w:val="auto"/>
              <w:kern w:val="0"/>
              <w:szCs w:val="22"/>
              <w:lang w:val="en-GB" w:eastAsia="en-GB"/>
            </w:rPr>
          </w:pPr>
          <w:r>
            <w:fldChar w:fldCharType="begin"/>
          </w:r>
          <w:r>
            <w:instrText xml:space="preserve"> TOC \o "1-1" \h \z \u </w:instrText>
          </w:r>
          <w:r>
            <w:fldChar w:fldCharType="separate"/>
          </w:r>
          <w:hyperlink w:anchor="_Toc514945660" w:history="1">
            <w:r w:rsidR="000030F0" w:rsidRPr="007D11D0">
              <w:rPr>
                <w:rStyle w:val="Hyperlink"/>
              </w:rPr>
              <w:t>How do we use your personal data?</w:t>
            </w:r>
            <w:r w:rsidR="000030F0">
              <w:rPr>
                <w:webHidden/>
              </w:rPr>
              <w:tab/>
            </w:r>
            <w:r w:rsidR="000030F0">
              <w:rPr>
                <w:webHidden/>
              </w:rPr>
              <w:fldChar w:fldCharType="begin"/>
            </w:r>
            <w:r w:rsidR="000030F0">
              <w:rPr>
                <w:webHidden/>
              </w:rPr>
              <w:instrText xml:space="preserve"> PAGEREF _Toc514945660 \h </w:instrText>
            </w:r>
            <w:r w:rsidR="000030F0">
              <w:rPr>
                <w:webHidden/>
              </w:rPr>
            </w:r>
            <w:r w:rsidR="000030F0">
              <w:rPr>
                <w:webHidden/>
              </w:rPr>
              <w:fldChar w:fldCharType="separate"/>
            </w:r>
            <w:r w:rsidR="009D04A0">
              <w:rPr>
                <w:webHidden/>
              </w:rPr>
              <w:t>1</w:t>
            </w:r>
            <w:r w:rsidR="000030F0">
              <w:rPr>
                <w:webHidden/>
              </w:rPr>
              <w:fldChar w:fldCharType="end"/>
            </w:r>
          </w:hyperlink>
        </w:p>
        <w:p w14:paraId="2D6433E2" w14:textId="77777777" w:rsidR="000030F0" w:rsidRDefault="000030F0">
          <w:pPr>
            <w:pStyle w:val="TOC1"/>
            <w:rPr>
              <w:rFonts w:eastAsiaTheme="minorEastAsia"/>
              <w:color w:val="auto"/>
              <w:kern w:val="0"/>
              <w:szCs w:val="22"/>
              <w:lang w:val="en-GB" w:eastAsia="en-GB"/>
            </w:rPr>
          </w:pPr>
          <w:hyperlink w:anchor="_Toc514945661" w:history="1">
            <w:r w:rsidRPr="007D11D0">
              <w:rPr>
                <w:rStyle w:val="Hyperlink"/>
              </w:rPr>
              <w:t>Our General Practice</w:t>
            </w:r>
            <w:r>
              <w:rPr>
                <w:webHidden/>
              </w:rPr>
              <w:tab/>
            </w:r>
            <w:r>
              <w:rPr>
                <w:webHidden/>
              </w:rPr>
              <w:fldChar w:fldCharType="begin"/>
            </w:r>
            <w:r>
              <w:rPr>
                <w:webHidden/>
              </w:rPr>
              <w:instrText xml:space="preserve"> PAGEREF _Toc514945661 \h </w:instrText>
            </w:r>
            <w:r>
              <w:rPr>
                <w:webHidden/>
              </w:rPr>
            </w:r>
            <w:r>
              <w:rPr>
                <w:webHidden/>
              </w:rPr>
              <w:fldChar w:fldCharType="separate"/>
            </w:r>
            <w:r w:rsidR="009D04A0">
              <w:rPr>
                <w:webHidden/>
              </w:rPr>
              <w:t>2</w:t>
            </w:r>
            <w:r>
              <w:rPr>
                <w:webHidden/>
              </w:rPr>
              <w:fldChar w:fldCharType="end"/>
            </w:r>
          </w:hyperlink>
        </w:p>
        <w:p w14:paraId="78273AAB" w14:textId="77777777" w:rsidR="000030F0" w:rsidRDefault="000030F0">
          <w:pPr>
            <w:pStyle w:val="TOC1"/>
            <w:rPr>
              <w:rFonts w:eastAsiaTheme="minorEastAsia"/>
              <w:color w:val="auto"/>
              <w:kern w:val="0"/>
              <w:szCs w:val="22"/>
              <w:lang w:val="en-GB" w:eastAsia="en-GB"/>
            </w:rPr>
          </w:pPr>
          <w:hyperlink w:anchor="_Toc514945662" w:history="1">
            <w:r w:rsidRPr="007D11D0">
              <w:rPr>
                <w:rStyle w:val="Hyperlink"/>
              </w:rPr>
              <w:t>Your Medical Records</w:t>
            </w:r>
            <w:r>
              <w:rPr>
                <w:webHidden/>
              </w:rPr>
              <w:tab/>
            </w:r>
            <w:r>
              <w:rPr>
                <w:webHidden/>
              </w:rPr>
              <w:fldChar w:fldCharType="begin"/>
            </w:r>
            <w:r>
              <w:rPr>
                <w:webHidden/>
              </w:rPr>
              <w:instrText xml:space="preserve"> PAGEREF _Toc514945662 \h </w:instrText>
            </w:r>
            <w:r>
              <w:rPr>
                <w:webHidden/>
              </w:rPr>
            </w:r>
            <w:r>
              <w:rPr>
                <w:webHidden/>
              </w:rPr>
              <w:fldChar w:fldCharType="separate"/>
            </w:r>
            <w:r w:rsidR="009D04A0">
              <w:rPr>
                <w:webHidden/>
              </w:rPr>
              <w:t>4</w:t>
            </w:r>
            <w:r>
              <w:rPr>
                <w:webHidden/>
              </w:rPr>
              <w:fldChar w:fldCharType="end"/>
            </w:r>
          </w:hyperlink>
        </w:p>
        <w:p w14:paraId="14029C99" w14:textId="77777777" w:rsidR="000030F0" w:rsidRDefault="000030F0">
          <w:pPr>
            <w:pStyle w:val="TOC1"/>
            <w:rPr>
              <w:rFonts w:eastAsiaTheme="minorEastAsia"/>
              <w:color w:val="auto"/>
              <w:kern w:val="0"/>
              <w:szCs w:val="22"/>
              <w:lang w:val="en-GB" w:eastAsia="en-GB"/>
            </w:rPr>
          </w:pPr>
          <w:hyperlink w:anchor="_Toc514945663" w:history="1">
            <w:r w:rsidRPr="007D11D0">
              <w:rPr>
                <w:rStyle w:val="Hyperlink"/>
              </w:rPr>
              <w:t>Electronic Patient Records (EPR) system</w:t>
            </w:r>
            <w:r>
              <w:rPr>
                <w:webHidden/>
              </w:rPr>
              <w:tab/>
            </w:r>
            <w:r>
              <w:rPr>
                <w:webHidden/>
              </w:rPr>
              <w:fldChar w:fldCharType="begin"/>
            </w:r>
            <w:r>
              <w:rPr>
                <w:webHidden/>
              </w:rPr>
              <w:instrText xml:space="preserve"> PAGEREF _Toc514945663 \h </w:instrText>
            </w:r>
            <w:r>
              <w:rPr>
                <w:webHidden/>
              </w:rPr>
            </w:r>
            <w:r>
              <w:rPr>
                <w:webHidden/>
              </w:rPr>
              <w:fldChar w:fldCharType="separate"/>
            </w:r>
            <w:r w:rsidR="009D04A0">
              <w:rPr>
                <w:webHidden/>
              </w:rPr>
              <w:t>6</w:t>
            </w:r>
            <w:r>
              <w:rPr>
                <w:webHidden/>
              </w:rPr>
              <w:fldChar w:fldCharType="end"/>
            </w:r>
          </w:hyperlink>
        </w:p>
        <w:p w14:paraId="433E5167" w14:textId="77777777" w:rsidR="000030F0" w:rsidRDefault="000030F0">
          <w:pPr>
            <w:pStyle w:val="TOC1"/>
            <w:rPr>
              <w:rFonts w:eastAsiaTheme="minorEastAsia"/>
              <w:color w:val="auto"/>
              <w:kern w:val="0"/>
              <w:szCs w:val="22"/>
              <w:lang w:val="en-GB" w:eastAsia="en-GB"/>
            </w:rPr>
          </w:pPr>
          <w:hyperlink w:anchor="_Toc514945664" w:history="1">
            <w:r w:rsidRPr="007D11D0">
              <w:rPr>
                <w:rStyle w:val="Hyperlink"/>
              </w:rPr>
              <w:t>How long do you keep medical records for?</w:t>
            </w:r>
            <w:r>
              <w:rPr>
                <w:webHidden/>
              </w:rPr>
              <w:tab/>
            </w:r>
            <w:r>
              <w:rPr>
                <w:webHidden/>
              </w:rPr>
              <w:fldChar w:fldCharType="begin"/>
            </w:r>
            <w:r>
              <w:rPr>
                <w:webHidden/>
              </w:rPr>
              <w:instrText xml:space="preserve"> PAGEREF _Toc514945664 \h </w:instrText>
            </w:r>
            <w:r>
              <w:rPr>
                <w:webHidden/>
              </w:rPr>
            </w:r>
            <w:r>
              <w:rPr>
                <w:webHidden/>
              </w:rPr>
              <w:fldChar w:fldCharType="separate"/>
            </w:r>
            <w:r w:rsidR="009D04A0">
              <w:rPr>
                <w:webHidden/>
              </w:rPr>
              <w:t>7</w:t>
            </w:r>
            <w:r>
              <w:rPr>
                <w:webHidden/>
              </w:rPr>
              <w:fldChar w:fldCharType="end"/>
            </w:r>
          </w:hyperlink>
        </w:p>
        <w:p w14:paraId="48C5C29F" w14:textId="77777777" w:rsidR="000030F0" w:rsidRDefault="000030F0">
          <w:pPr>
            <w:pStyle w:val="TOC1"/>
            <w:rPr>
              <w:rFonts w:eastAsiaTheme="minorEastAsia"/>
              <w:color w:val="auto"/>
              <w:kern w:val="0"/>
              <w:szCs w:val="22"/>
              <w:lang w:val="en-GB" w:eastAsia="en-GB"/>
            </w:rPr>
          </w:pPr>
          <w:hyperlink w:anchor="_Toc514945665" w:history="1">
            <w:r w:rsidRPr="007D11D0">
              <w:rPr>
                <w:rStyle w:val="Hyperlink"/>
              </w:rPr>
              <w:t>Our Privacy Promise</w:t>
            </w:r>
            <w:r>
              <w:rPr>
                <w:webHidden/>
              </w:rPr>
              <w:tab/>
            </w:r>
            <w:r>
              <w:rPr>
                <w:webHidden/>
              </w:rPr>
              <w:fldChar w:fldCharType="begin"/>
            </w:r>
            <w:r>
              <w:rPr>
                <w:webHidden/>
              </w:rPr>
              <w:instrText xml:space="preserve"> PAGEREF _Toc514945665 \h </w:instrText>
            </w:r>
            <w:r>
              <w:rPr>
                <w:webHidden/>
              </w:rPr>
            </w:r>
            <w:r>
              <w:rPr>
                <w:webHidden/>
              </w:rPr>
              <w:fldChar w:fldCharType="separate"/>
            </w:r>
            <w:r w:rsidR="009D04A0">
              <w:rPr>
                <w:webHidden/>
              </w:rPr>
              <w:t>8</w:t>
            </w:r>
            <w:r>
              <w:rPr>
                <w:webHidden/>
              </w:rPr>
              <w:fldChar w:fldCharType="end"/>
            </w:r>
          </w:hyperlink>
        </w:p>
        <w:p w14:paraId="65C81E4F" w14:textId="77777777" w:rsidR="000030F0" w:rsidRDefault="000030F0">
          <w:pPr>
            <w:pStyle w:val="TOC1"/>
            <w:rPr>
              <w:rFonts w:eastAsiaTheme="minorEastAsia"/>
              <w:color w:val="auto"/>
              <w:kern w:val="0"/>
              <w:szCs w:val="22"/>
              <w:lang w:val="en-GB" w:eastAsia="en-GB"/>
            </w:rPr>
          </w:pPr>
          <w:hyperlink w:anchor="_Toc514945666" w:history="1">
            <w:r w:rsidRPr="007D11D0">
              <w:rPr>
                <w:rStyle w:val="Hyperlink"/>
              </w:rPr>
              <w:t>How the law protects your confidentiality</w:t>
            </w:r>
            <w:r>
              <w:rPr>
                <w:webHidden/>
              </w:rPr>
              <w:tab/>
            </w:r>
            <w:r>
              <w:rPr>
                <w:webHidden/>
              </w:rPr>
              <w:fldChar w:fldCharType="begin"/>
            </w:r>
            <w:r>
              <w:rPr>
                <w:webHidden/>
              </w:rPr>
              <w:instrText xml:space="preserve"> PAGEREF _Toc514945666 \h </w:instrText>
            </w:r>
            <w:r>
              <w:rPr>
                <w:webHidden/>
              </w:rPr>
            </w:r>
            <w:r>
              <w:rPr>
                <w:webHidden/>
              </w:rPr>
              <w:fldChar w:fldCharType="separate"/>
            </w:r>
            <w:r w:rsidR="009D04A0">
              <w:rPr>
                <w:webHidden/>
              </w:rPr>
              <w:t>9</w:t>
            </w:r>
            <w:r>
              <w:rPr>
                <w:webHidden/>
              </w:rPr>
              <w:fldChar w:fldCharType="end"/>
            </w:r>
          </w:hyperlink>
        </w:p>
        <w:p w14:paraId="493FA0A7" w14:textId="77777777" w:rsidR="000030F0" w:rsidRDefault="000030F0">
          <w:pPr>
            <w:pStyle w:val="TOC1"/>
            <w:rPr>
              <w:rFonts w:eastAsiaTheme="minorEastAsia"/>
              <w:color w:val="auto"/>
              <w:kern w:val="0"/>
              <w:szCs w:val="22"/>
              <w:lang w:val="en-GB" w:eastAsia="en-GB"/>
            </w:rPr>
          </w:pPr>
          <w:hyperlink w:anchor="_Toc514945667" w:history="1">
            <w:r w:rsidRPr="007D11D0">
              <w:rPr>
                <w:rStyle w:val="Hyperlink"/>
              </w:rPr>
              <w:t>Who are our partner organisations?</w:t>
            </w:r>
            <w:r>
              <w:rPr>
                <w:webHidden/>
              </w:rPr>
              <w:tab/>
            </w:r>
            <w:r>
              <w:rPr>
                <w:webHidden/>
              </w:rPr>
              <w:fldChar w:fldCharType="begin"/>
            </w:r>
            <w:r>
              <w:rPr>
                <w:webHidden/>
              </w:rPr>
              <w:instrText xml:space="preserve"> PAGEREF _Toc514945667 \h </w:instrText>
            </w:r>
            <w:r>
              <w:rPr>
                <w:webHidden/>
              </w:rPr>
            </w:r>
            <w:r>
              <w:rPr>
                <w:webHidden/>
              </w:rPr>
              <w:fldChar w:fldCharType="separate"/>
            </w:r>
            <w:r w:rsidR="009D04A0">
              <w:rPr>
                <w:webHidden/>
              </w:rPr>
              <w:t>10</w:t>
            </w:r>
            <w:r>
              <w:rPr>
                <w:webHidden/>
              </w:rPr>
              <w:fldChar w:fldCharType="end"/>
            </w:r>
          </w:hyperlink>
        </w:p>
        <w:p w14:paraId="29030C59" w14:textId="77777777" w:rsidR="000030F0" w:rsidRDefault="000030F0">
          <w:pPr>
            <w:pStyle w:val="TOC1"/>
            <w:rPr>
              <w:rFonts w:eastAsiaTheme="minorEastAsia"/>
              <w:color w:val="auto"/>
              <w:kern w:val="0"/>
              <w:szCs w:val="22"/>
              <w:lang w:val="en-GB" w:eastAsia="en-GB"/>
            </w:rPr>
          </w:pPr>
          <w:hyperlink w:anchor="_Toc514945668" w:history="1">
            <w:r w:rsidRPr="007D11D0">
              <w:rPr>
                <w:rStyle w:val="Hyperlink"/>
              </w:rPr>
              <w:t>Subject Access Requests and Data Portability</w:t>
            </w:r>
            <w:r>
              <w:rPr>
                <w:webHidden/>
              </w:rPr>
              <w:tab/>
            </w:r>
            <w:r>
              <w:rPr>
                <w:webHidden/>
              </w:rPr>
              <w:fldChar w:fldCharType="begin"/>
            </w:r>
            <w:r>
              <w:rPr>
                <w:webHidden/>
              </w:rPr>
              <w:instrText xml:space="preserve"> PAGEREF _Toc514945668 \h </w:instrText>
            </w:r>
            <w:r>
              <w:rPr>
                <w:webHidden/>
              </w:rPr>
            </w:r>
            <w:r>
              <w:rPr>
                <w:webHidden/>
              </w:rPr>
              <w:fldChar w:fldCharType="separate"/>
            </w:r>
            <w:r w:rsidR="009D04A0">
              <w:rPr>
                <w:webHidden/>
              </w:rPr>
              <w:t>11</w:t>
            </w:r>
            <w:r>
              <w:rPr>
                <w:webHidden/>
              </w:rPr>
              <w:fldChar w:fldCharType="end"/>
            </w:r>
          </w:hyperlink>
        </w:p>
        <w:p w14:paraId="74FD7876" w14:textId="77777777" w:rsidR="000030F0" w:rsidRDefault="000030F0">
          <w:pPr>
            <w:pStyle w:val="TOC1"/>
            <w:rPr>
              <w:rFonts w:eastAsiaTheme="minorEastAsia"/>
              <w:color w:val="auto"/>
              <w:kern w:val="0"/>
              <w:szCs w:val="22"/>
              <w:lang w:val="en-GB" w:eastAsia="en-GB"/>
            </w:rPr>
          </w:pPr>
          <w:hyperlink w:anchor="_Toc514945669" w:history="1">
            <w:r w:rsidRPr="007D11D0">
              <w:rPr>
                <w:rStyle w:val="Hyperlink"/>
              </w:rPr>
              <w:t>Website cookies</w:t>
            </w:r>
            <w:r>
              <w:rPr>
                <w:webHidden/>
              </w:rPr>
              <w:tab/>
            </w:r>
            <w:r>
              <w:rPr>
                <w:webHidden/>
              </w:rPr>
              <w:fldChar w:fldCharType="begin"/>
            </w:r>
            <w:r>
              <w:rPr>
                <w:webHidden/>
              </w:rPr>
              <w:instrText xml:space="preserve"> PAGEREF _Toc514945669 \h </w:instrText>
            </w:r>
            <w:r>
              <w:rPr>
                <w:webHidden/>
              </w:rPr>
            </w:r>
            <w:r>
              <w:rPr>
                <w:webHidden/>
              </w:rPr>
              <w:fldChar w:fldCharType="separate"/>
            </w:r>
            <w:r w:rsidR="009D04A0">
              <w:rPr>
                <w:webHidden/>
              </w:rPr>
              <w:t>13</w:t>
            </w:r>
            <w:r>
              <w:rPr>
                <w:webHidden/>
              </w:rPr>
              <w:fldChar w:fldCharType="end"/>
            </w:r>
          </w:hyperlink>
        </w:p>
        <w:p w14:paraId="3B0347AB" w14:textId="77777777" w:rsidR="000030F0" w:rsidRDefault="000030F0">
          <w:pPr>
            <w:pStyle w:val="TOC1"/>
            <w:rPr>
              <w:rFonts w:eastAsiaTheme="minorEastAsia"/>
              <w:color w:val="auto"/>
              <w:kern w:val="0"/>
              <w:szCs w:val="22"/>
              <w:lang w:val="en-GB" w:eastAsia="en-GB"/>
            </w:rPr>
          </w:pPr>
          <w:hyperlink w:anchor="_Toc514945670" w:history="1">
            <w:r w:rsidRPr="007D11D0">
              <w:rPr>
                <w:rStyle w:val="Hyperlink"/>
              </w:rPr>
              <w:t>General Practice contacts for personal data</w:t>
            </w:r>
            <w:r>
              <w:rPr>
                <w:webHidden/>
              </w:rPr>
              <w:tab/>
            </w:r>
            <w:r>
              <w:rPr>
                <w:webHidden/>
              </w:rPr>
              <w:fldChar w:fldCharType="begin"/>
            </w:r>
            <w:r>
              <w:rPr>
                <w:webHidden/>
              </w:rPr>
              <w:instrText xml:space="preserve"> PAGEREF _Toc514945670 \h </w:instrText>
            </w:r>
            <w:r>
              <w:rPr>
                <w:webHidden/>
              </w:rPr>
            </w:r>
            <w:r>
              <w:rPr>
                <w:webHidden/>
              </w:rPr>
              <w:fldChar w:fldCharType="separate"/>
            </w:r>
            <w:r w:rsidR="009D04A0">
              <w:rPr>
                <w:webHidden/>
              </w:rPr>
              <w:t>15</w:t>
            </w:r>
            <w:r>
              <w:rPr>
                <w:webHidden/>
              </w:rPr>
              <w:fldChar w:fldCharType="end"/>
            </w:r>
          </w:hyperlink>
        </w:p>
        <w:p w14:paraId="07E14E41" w14:textId="77777777" w:rsidR="00805D6D" w:rsidRDefault="00027B3F">
          <w:pPr>
            <w:rPr>
              <w:b/>
              <w:bCs/>
              <w:noProof/>
            </w:rPr>
          </w:pPr>
          <w:r>
            <w:fldChar w:fldCharType="end"/>
          </w:r>
        </w:p>
      </w:sdtContent>
    </w:sdt>
    <w:p w14:paraId="6983D300" w14:textId="77777777" w:rsidR="00805D6D" w:rsidRDefault="00805D6D">
      <w:pPr>
        <w:sectPr w:rsidR="00805D6D" w:rsidSect="009A783D">
          <w:headerReference w:type="default" r:id="rId12"/>
          <w:pgSz w:w="11907" w:h="16839" w:code="9"/>
          <w:pgMar w:top="1037" w:right="1037" w:bottom="1051" w:left="1037" w:header="1080" w:footer="720" w:gutter="0"/>
          <w:pgNumType w:start="0"/>
          <w:cols w:space="720"/>
          <w:titlePg/>
          <w:docGrid w:linePitch="360"/>
        </w:sectPr>
      </w:pPr>
    </w:p>
    <w:p w14:paraId="01429A78" w14:textId="77777777" w:rsidR="004C4639" w:rsidRDefault="00254A6D">
      <w:pPr>
        <w:pStyle w:val="Heading1"/>
      </w:pPr>
      <w:bookmarkStart w:id="0" w:name="_Toc514945660"/>
      <w:r w:rsidRPr="00254A6D">
        <w:lastRenderedPageBreak/>
        <w:t xml:space="preserve">How </w:t>
      </w:r>
      <w:r w:rsidR="0013265A">
        <w:t xml:space="preserve">do </w:t>
      </w:r>
      <w:r w:rsidRPr="00254A6D">
        <w:t>we use</w:t>
      </w:r>
      <w:r w:rsidR="005B789B">
        <w:t xml:space="preserve"> your</w:t>
      </w:r>
      <w:r w:rsidRPr="00254A6D">
        <w:t xml:space="preserve"> personal </w:t>
      </w:r>
      <w:r w:rsidR="0013265A">
        <w:t>data?</w:t>
      </w:r>
      <w:bookmarkEnd w:id="0"/>
    </w:p>
    <w:p w14:paraId="732C9D8C" w14:textId="77777777" w:rsidR="0013265A" w:rsidRPr="0013265A" w:rsidRDefault="007E2156" w:rsidP="0013265A">
      <w:r>
        <w:rPr>
          <w:noProof/>
          <w:lang w:val="en-GB" w:eastAsia="en-GB"/>
        </w:rPr>
        <w:drawing>
          <wp:inline distT="0" distB="0" distL="0" distR="0" wp14:anchorId="50CEDCE0" wp14:editId="2AFC5CFC">
            <wp:extent cx="5629275" cy="2894147"/>
            <wp:effectExtent l="0" t="0" r="0"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How-we-use-personal-data.jpg"/>
                    <pic:cNvPicPr/>
                  </pic:nvPicPr>
                  <pic:blipFill>
                    <a:blip r:embed="rId13">
                      <a:extLst>
                        <a:ext uri="{28A0092B-C50C-407E-A947-70E740481C1C}">
                          <a14:useLocalDpi xmlns:a14="http://schemas.microsoft.com/office/drawing/2010/main" val="0"/>
                        </a:ext>
                      </a:extLst>
                    </a:blip>
                    <a:stretch>
                      <a:fillRect/>
                    </a:stretch>
                  </pic:blipFill>
                  <pic:spPr>
                    <a:xfrm>
                      <a:off x="0" y="0"/>
                      <a:ext cx="5640836" cy="2900091"/>
                    </a:xfrm>
                    <a:prstGeom prst="rect">
                      <a:avLst/>
                    </a:prstGeom>
                  </pic:spPr>
                </pic:pic>
              </a:graphicData>
            </a:graphic>
          </wp:inline>
        </w:drawing>
      </w:r>
    </w:p>
    <w:p w14:paraId="11A4E74B" w14:textId="77777777" w:rsidR="009C7267" w:rsidRDefault="009C7267" w:rsidP="009C7267">
      <w:pPr>
        <w:pStyle w:val="TableHeading"/>
      </w:pPr>
      <w:r w:rsidRPr="00C82569">
        <w:t>Personal data is any information that relates to an identified or identifiable living individual. Different pieces of information, which collected together can lead to the identification of a particular person, also constitute personal data.</w:t>
      </w:r>
    </w:p>
    <w:p w14:paraId="7E49E8C2" w14:textId="77777777" w:rsidR="00A44C16" w:rsidRDefault="00A44C16" w:rsidP="00A44C16">
      <w:pPr>
        <w:pStyle w:val="Heading2"/>
      </w:pPr>
      <w:r>
        <w:t xml:space="preserve">WHAT </w:t>
      </w:r>
      <w:r w:rsidR="0048357B">
        <w:t>types</w:t>
      </w:r>
      <w:r>
        <w:t xml:space="preserve"> OF personal data</w:t>
      </w:r>
      <w:r w:rsidR="0048304D">
        <w:t xml:space="preserve"> </w:t>
      </w:r>
      <w:r w:rsidR="00FD7267">
        <w:t>are</w:t>
      </w:r>
      <w:r w:rsidR="000D647D">
        <w:t xml:space="preserve"> </w:t>
      </w:r>
      <w:r w:rsidR="0048357B">
        <w:t>used</w:t>
      </w:r>
      <w:r w:rsidR="0048304D">
        <w:t xml:space="preserve"> BY our GENERAL PRACTICE</w:t>
      </w:r>
      <w:r>
        <w:t>?</w:t>
      </w:r>
    </w:p>
    <w:p w14:paraId="74734360" w14:textId="77777777" w:rsidR="000D647D" w:rsidRDefault="00A44C16" w:rsidP="000A237E">
      <w:r>
        <w:t xml:space="preserve">Examples of information </w:t>
      </w:r>
      <w:r w:rsidR="0048304D">
        <w:t xml:space="preserve">we </w:t>
      </w:r>
      <w:r w:rsidR="0048357B">
        <w:t>use</w:t>
      </w:r>
      <w:r w:rsidR="0048304D">
        <w:t xml:space="preserve"> </w:t>
      </w:r>
      <w:r>
        <w:t xml:space="preserve">that </w:t>
      </w:r>
      <w:r w:rsidRPr="009E24F9">
        <w:t>constitute</w:t>
      </w:r>
      <w:r>
        <w:t>s personal data includes</w:t>
      </w:r>
      <w:r w:rsidR="000D647D">
        <w:t>:</w:t>
      </w:r>
    </w:p>
    <w:p w14:paraId="04EC9F1B" w14:textId="77777777" w:rsidR="000D647D" w:rsidRDefault="000D647D" w:rsidP="000D647D">
      <w:pPr>
        <w:pStyle w:val="ListParagraph"/>
        <w:numPr>
          <w:ilvl w:val="0"/>
          <w:numId w:val="27"/>
        </w:numPr>
      </w:pPr>
      <w:r>
        <w:t>Your name, address,</w:t>
      </w:r>
      <w:r w:rsidRPr="000D647D">
        <w:t xml:space="preserve"> </w:t>
      </w:r>
      <w:r>
        <w:t xml:space="preserve">telephone numbers, an email address and an </w:t>
      </w:r>
      <w:r w:rsidRPr="009E24F9">
        <w:t>identification number</w:t>
      </w:r>
      <w:r w:rsidR="008D5661">
        <w:t xml:space="preserve"> (e.g. every patient has a</w:t>
      </w:r>
      <w:r>
        <w:t xml:space="preserve"> unique NHS ID Number)</w:t>
      </w:r>
    </w:p>
    <w:p w14:paraId="04A09193" w14:textId="77777777" w:rsidR="000D647D" w:rsidRDefault="000D647D" w:rsidP="000D647D">
      <w:pPr>
        <w:pStyle w:val="ListParagraph"/>
        <w:numPr>
          <w:ilvl w:val="0"/>
          <w:numId w:val="27"/>
        </w:numPr>
      </w:pPr>
      <w:r>
        <w:t>We may hold details on other people such as</w:t>
      </w:r>
      <w:r w:rsidR="008D5661">
        <w:t xml:space="preserve"> your</w:t>
      </w:r>
      <w:r>
        <w:t xml:space="preserve"> carer, legal representative </w:t>
      </w:r>
      <w:r w:rsidR="0041029F">
        <w:t>or</w:t>
      </w:r>
      <w:r>
        <w:t xml:space="preserve"> emergency contacts</w:t>
      </w:r>
    </w:p>
    <w:p w14:paraId="1EFD61D0" w14:textId="77777777" w:rsidR="000D647D" w:rsidRDefault="000D647D" w:rsidP="000D647D">
      <w:pPr>
        <w:pStyle w:val="ListParagraph"/>
        <w:numPr>
          <w:ilvl w:val="0"/>
          <w:numId w:val="27"/>
        </w:numPr>
      </w:pPr>
      <w:r>
        <w:t>Any contact the surgery has had with you - such as appointments, clinic visits, emergency appointments</w:t>
      </w:r>
    </w:p>
    <w:p w14:paraId="799E1EE2" w14:textId="77777777" w:rsidR="000D647D" w:rsidRDefault="000D647D" w:rsidP="000D647D">
      <w:pPr>
        <w:pStyle w:val="ListParagraph"/>
        <w:numPr>
          <w:ilvl w:val="0"/>
          <w:numId w:val="27"/>
        </w:numPr>
      </w:pPr>
      <w:r>
        <w:t>Notes and reports about your health and details about your treatment and care</w:t>
      </w:r>
    </w:p>
    <w:p w14:paraId="4213B864" w14:textId="77777777" w:rsidR="000D647D" w:rsidRDefault="000D647D" w:rsidP="000D647D">
      <w:pPr>
        <w:pStyle w:val="ListParagraph"/>
        <w:numPr>
          <w:ilvl w:val="0"/>
          <w:numId w:val="27"/>
        </w:numPr>
      </w:pPr>
      <w:r>
        <w:t>Results of investigations such as laboratory tests or x-rays etc.</w:t>
      </w:r>
    </w:p>
    <w:p w14:paraId="0995AA93" w14:textId="77777777" w:rsidR="000D647D" w:rsidRDefault="000D647D" w:rsidP="000D647D">
      <w:pPr>
        <w:pStyle w:val="ListParagraph"/>
        <w:numPr>
          <w:ilvl w:val="0"/>
          <w:numId w:val="27"/>
        </w:numPr>
      </w:pPr>
      <w:r>
        <w:t>Relevant information from other health professionals, relatives or those who care for you</w:t>
      </w:r>
    </w:p>
    <w:p w14:paraId="4DBD7F80" w14:textId="77777777" w:rsidR="000030F0" w:rsidRDefault="000030F0" w:rsidP="000030F0">
      <w:pPr>
        <w:pStyle w:val="ListParagraph"/>
        <w:numPr>
          <w:ilvl w:val="0"/>
          <w:numId w:val="27"/>
        </w:numPr>
      </w:pPr>
      <w:r>
        <w:t>An online identifier on a website (e.g. website ‘cookies’ that track) -</w:t>
      </w:r>
      <w:r w:rsidRPr="009E24F9">
        <w:t xml:space="preserve"> reflecting changes in </w:t>
      </w:r>
      <w:r>
        <w:t xml:space="preserve">internet </w:t>
      </w:r>
      <w:r w:rsidRPr="009E24F9">
        <w:t xml:space="preserve">technology and the way organisations </w:t>
      </w:r>
      <w:r>
        <w:t xml:space="preserve">may </w:t>
      </w:r>
      <w:r w:rsidRPr="009E24F9">
        <w:t xml:space="preserve">collect information about </w:t>
      </w:r>
      <w:r>
        <w:t>individuals</w:t>
      </w:r>
      <w:r w:rsidRPr="009E24F9">
        <w:t>.</w:t>
      </w:r>
    </w:p>
    <w:p w14:paraId="79D130E1" w14:textId="77777777" w:rsidR="000030F0" w:rsidRDefault="000030F0" w:rsidP="000030F0">
      <w:pPr>
        <w:pStyle w:val="ListParagraph"/>
        <w:numPr>
          <w:ilvl w:val="0"/>
          <w:numId w:val="27"/>
        </w:numPr>
      </w:pPr>
      <w:r w:rsidRPr="000030F0">
        <w:t xml:space="preserve">CCTV video recordings </w:t>
      </w:r>
      <w:r w:rsidR="00644551">
        <w:t xml:space="preserve">- </w:t>
      </w:r>
      <w:r w:rsidRPr="000030F0">
        <w:t>captured and stored for the purposes of holding data relating to employee monitoring, staff security</w:t>
      </w:r>
      <w:r>
        <w:t xml:space="preserve"> and crime prevention.</w:t>
      </w:r>
    </w:p>
    <w:p w14:paraId="694D30B4" w14:textId="77777777" w:rsidR="00F70F19" w:rsidRPr="000D647D" w:rsidRDefault="00F70F19" w:rsidP="000030F0">
      <w:pPr>
        <w:pStyle w:val="ListParagraph"/>
        <w:numPr>
          <w:ilvl w:val="0"/>
          <w:numId w:val="27"/>
        </w:numPr>
      </w:pPr>
      <w:r>
        <w:br w:type="page"/>
      </w:r>
    </w:p>
    <w:p w14:paraId="51526B17" w14:textId="77777777" w:rsidR="00AA576B" w:rsidRDefault="00254A6D" w:rsidP="00AA576B">
      <w:pPr>
        <w:pStyle w:val="Heading1"/>
      </w:pPr>
      <w:bookmarkStart w:id="1" w:name="_Toc514945661"/>
      <w:r>
        <w:lastRenderedPageBreak/>
        <w:t>Our General Practice</w:t>
      </w:r>
      <w:bookmarkEnd w:id="1"/>
    </w:p>
    <w:p w14:paraId="61E33B4D" w14:textId="77777777" w:rsidR="00805D6D" w:rsidRDefault="007E2156" w:rsidP="00AA576B">
      <w:r>
        <w:rPr>
          <w:noProof/>
          <w:lang w:val="en-GB" w:eastAsia="en-GB"/>
        </w:rPr>
        <w:drawing>
          <wp:inline distT="0" distB="0" distL="0" distR="0" wp14:anchorId="2E8800B2" wp14:editId="328F7BA4">
            <wp:extent cx="5617723" cy="3000375"/>
            <wp:effectExtent l="0" t="0" r="254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ur-General-Practice.jpg"/>
                    <pic:cNvPicPr/>
                  </pic:nvPicPr>
                  <pic:blipFill>
                    <a:blip r:embed="rId14">
                      <a:extLst>
                        <a:ext uri="{28A0092B-C50C-407E-A947-70E740481C1C}">
                          <a14:useLocalDpi xmlns:a14="http://schemas.microsoft.com/office/drawing/2010/main" val="0"/>
                        </a:ext>
                      </a:extLst>
                    </a:blip>
                    <a:stretch>
                      <a:fillRect/>
                    </a:stretch>
                  </pic:blipFill>
                  <pic:spPr>
                    <a:xfrm>
                      <a:off x="0" y="0"/>
                      <a:ext cx="5625985" cy="3004788"/>
                    </a:xfrm>
                    <a:prstGeom prst="rect">
                      <a:avLst/>
                    </a:prstGeom>
                  </pic:spPr>
                </pic:pic>
              </a:graphicData>
            </a:graphic>
          </wp:inline>
        </w:drawing>
      </w:r>
    </w:p>
    <w:p w14:paraId="6566F307" w14:textId="77777777" w:rsidR="00F70F19" w:rsidRDefault="00A44C16" w:rsidP="00F70F19">
      <w:pPr>
        <w:pStyle w:val="TableHeading"/>
      </w:pPr>
      <w:r>
        <w:t>Our</w:t>
      </w:r>
      <w:r w:rsidR="009C7267">
        <w:t xml:space="preserve"> General Practice ensures </w:t>
      </w:r>
      <w:r w:rsidR="009C7267" w:rsidRPr="009C7267">
        <w:t>personal data</w:t>
      </w:r>
      <w:r w:rsidR="009C7267">
        <w:t xml:space="preserve"> on our patients and staff</w:t>
      </w:r>
      <w:r w:rsidR="009C7267" w:rsidRPr="009C7267">
        <w:t xml:space="preserve"> </w:t>
      </w:r>
      <w:r w:rsidR="009C7267">
        <w:t>is</w:t>
      </w:r>
      <w:r w:rsidR="009C7267" w:rsidRPr="009C7267">
        <w:t xml:space="preserve"> pro</w:t>
      </w:r>
      <w:r>
        <w:t>cessed fairly and lawfully.</w:t>
      </w:r>
    </w:p>
    <w:p w14:paraId="39864FA0" w14:textId="77777777" w:rsidR="00F46898" w:rsidRDefault="00F46898" w:rsidP="00F46898">
      <w:pPr>
        <w:pStyle w:val="Heading2"/>
      </w:pPr>
      <w:r>
        <w:t>Purpose and legal basis for processing your personal data</w:t>
      </w:r>
    </w:p>
    <w:p w14:paraId="70A97F2B" w14:textId="77777777" w:rsidR="003F3C92" w:rsidRDefault="000A237E" w:rsidP="006216E8">
      <w:r>
        <w:t>Our health care professionals who provide you with care maintain records about your health and any treatment or care you have received previously (NHS health records may be electronic, on paper or a mixture of both) and we use a combination of working practices and technology to ensure that your information is kept confidential and secure.</w:t>
      </w:r>
    </w:p>
    <w:p w14:paraId="318090DA" w14:textId="77777777" w:rsidR="003F3C92" w:rsidRDefault="00000549" w:rsidP="003F3C92">
      <w:r>
        <w:t xml:space="preserve">We want to make sure that you clearly understand </w:t>
      </w:r>
      <w:r w:rsidR="005B789B">
        <w:t xml:space="preserve">why we </w:t>
      </w:r>
      <w:r w:rsidR="00F46898">
        <w:t>process</w:t>
      </w:r>
      <w:r w:rsidRPr="00000549">
        <w:t xml:space="preserve"> your personal information</w:t>
      </w:r>
      <w:r w:rsidR="003F3C92">
        <w:t xml:space="preserve"> fairly and lawfully</w:t>
      </w:r>
      <w:r w:rsidR="00C661CC">
        <w:t xml:space="preserve"> </w:t>
      </w:r>
      <w:r w:rsidR="005B789B">
        <w:t>for these main reasons</w:t>
      </w:r>
      <w:r w:rsidR="00780B77">
        <w:t>:</w:t>
      </w:r>
    </w:p>
    <w:p w14:paraId="2C41DB54" w14:textId="77777777" w:rsidR="003F3C92" w:rsidRDefault="003F3C92" w:rsidP="00C661CC">
      <w:pPr>
        <w:pStyle w:val="ListParagraph"/>
        <w:numPr>
          <w:ilvl w:val="0"/>
          <w:numId w:val="34"/>
        </w:numPr>
      </w:pPr>
      <w:r>
        <w:t>the data subject (</w:t>
      </w:r>
      <w:r w:rsidR="00780B77">
        <w:t xml:space="preserve">i.e. the </w:t>
      </w:r>
      <w:r>
        <w:t>patient) has given consent to the processing of his or her personal data for</w:t>
      </w:r>
      <w:r w:rsidR="00780B77">
        <w:t xml:space="preserve"> one or more specific purposes</w:t>
      </w:r>
      <w:r w:rsidR="00C661CC">
        <w:t xml:space="preserve"> (e.g. to support the delivery of your care)</w:t>
      </w:r>
      <w:r>
        <w:t>;</w:t>
      </w:r>
    </w:p>
    <w:p w14:paraId="75880113" w14:textId="77777777" w:rsidR="003F3C92" w:rsidRDefault="003F3C92" w:rsidP="00C661CC">
      <w:pPr>
        <w:pStyle w:val="ListParagraph"/>
        <w:numPr>
          <w:ilvl w:val="0"/>
          <w:numId w:val="34"/>
        </w:numPr>
      </w:pPr>
      <w:r>
        <w:t>processing is necessary for compliance with a legal obligation to which the controller is subject (</w:t>
      </w:r>
      <w:r w:rsidR="00780B77">
        <w:t xml:space="preserve">every </w:t>
      </w:r>
      <w:r w:rsidR="00C661CC">
        <w:t>General P</w:t>
      </w:r>
      <w:r w:rsidR="00780B77">
        <w:t>ractice</w:t>
      </w:r>
      <w:r>
        <w:t xml:space="preserve"> ha</w:t>
      </w:r>
      <w:r w:rsidR="00780B77">
        <w:t>s</w:t>
      </w:r>
      <w:r>
        <w:t xml:space="preserve"> to record </w:t>
      </w:r>
      <w:r w:rsidR="00780B77">
        <w:t>its</w:t>
      </w:r>
      <w:r>
        <w:t xml:space="preserve"> care provided);</w:t>
      </w:r>
    </w:p>
    <w:p w14:paraId="7D9E34C1" w14:textId="77777777" w:rsidR="003F3C92" w:rsidRDefault="003F3C92" w:rsidP="00C661CC">
      <w:pPr>
        <w:pStyle w:val="ListParagraph"/>
        <w:numPr>
          <w:ilvl w:val="0"/>
          <w:numId w:val="34"/>
        </w:numPr>
      </w:pPr>
      <w:r>
        <w:t>processing is necessary in order to protect the vital interests of the data subject or of another natural person</w:t>
      </w:r>
      <w:r w:rsidR="00C661CC">
        <w:t xml:space="preserve"> (i.e. the health and wellbeing of a patient)</w:t>
      </w:r>
      <w:r>
        <w:t>;</w:t>
      </w:r>
    </w:p>
    <w:p w14:paraId="395ABDE2" w14:textId="4A5C02C8" w:rsidR="00175659" w:rsidRDefault="003F3C92" w:rsidP="006D039B">
      <w:pPr>
        <w:pStyle w:val="ListParagraph"/>
        <w:numPr>
          <w:ilvl w:val="0"/>
          <w:numId w:val="34"/>
        </w:numPr>
      </w:pPr>
      <w:r>
        <w:t>processing is necessary for the performance of a task carried out in the public interest or in the exercise of official authority vested in the controller</w:t>
      </w:r>
      <w:r w:rsidR="00605AB3">
        <w:t xml:space="preserve"> (</w:t>
      </w:r>
      <w:r w:rsidR="00605AB3" w:rsidRPr="00605AB3">
        <w:t xml:space="preserve">NHS England and its </w:t>
      </w:r>
      <w:r w:rsidR="00EE6FD5">
        <w:t>Integrated Care Boards)</w:t>
      </w:r>
      <w:r w:rsidR="00605AB3" w:rsidRPr="00605AB3">
        <w:t xml:space="preserve"> are tasked by the UK Government to obtain a picture of the health an</w:t>
      </w:r>
      <w:r w:rsidR="00605AB3">
        <w:t>d needs of the local population).</w:t>
      </w:r>
    </w:p>
    <w:p w14:paraId="693364FC" w14:textId="77777777" w:rsidR="00175659" w:rsidRDefault="005B789B" w:rsidP="00175659">
      <w:pPr>
        <w:pStyle w:val="Heading2"/>
      </w:pPr>
      <w:r>
        <w:lastRenderedPageBreak/>
        <w:t>HOW WE PREVENT</w:t>
      </w:r>
      <w:r w:rsidR="00175659">
        <w:t xml:space="preserve"> illness with ‘risk stratification’ – a term we use in the NHS to describe how information </w:t>
      </w:r>
      <w:r>
        <w:t xml:space="preserve">can </w:t>
      </w:r>
      <w:r w:rsidR="00175659">
        <w:t xml:space="preserve">help improve </w:t>
      </w:r>
      <w:r>
        <w:t xml:space="preserve">your </w:t>
      </w:r>
      <w:r w:rsidR="00175659">
        <w:t>health and wellbeing</w:t>
      </w:r>
    </w:p>
    <w:p w14:paraId="73B6083C" w14:textId="77777777" w:rsidR="00175659" w:rsidRDefault="00175659" w:rsidP="00175659">
      <w:r>
        <w:t>‘</w:t>
      </w:r>
      <w:r w:rsidRPr="00537A6D">
        <w:t>Risk stratification</w:t>
      </w:r>
      <w:r>
        <w:t>’</w:t>
      </w:r>
      <w:r w:rsidRPr="00537A6D">
        <w:t xml:space="preserve"> data tools are increasingly being used </w:t>
      </w:r>
      <w:r w:rsidR="00F85203">
        <w:t>by</w:t>
      </w:r>
      <w:r w:rsidRPr="00537A6D">
        <w:t xml:space="preserve"> the NHS </w:t>
      </w:r>
      <w:r w:rsidR="001D6DAE">
        <w:t>on computer</w:t>
      </w:r>
      <w:r w:rsidR="00F85203">
        <w:t xml:space="preserve"> systems </w:t>
      </w:r>
      <w:r w:rsidRPr="00537A6D">
        <w:t xml:space="preserve">to help determine a person’s risk of suffering </w:t>
      </w:r>
      <w:r>
        <w:t xml:space="preserve">from </w:t>
      </w:r>
      <w:r w:rsidRPr="00537A6D">
        <w:t xml:space="preserve">a particular </w:t>
      </w:r>
      <w:r>
        <w:t>illness or condition -</w:t>
      </w:r>
      <w:r w:rsidRPr="00537A6D">
        <w:t xml:space="preserve"> preventing an unplanned or (re)admission and identifying a need for preventive intervention.</w:t>
      </w:r>
    </w:p>
    <w:p w14:paraId="2966ED32" w14:textId="77777777" w:rsidR="00175659" w:rsidRDefault="00F85203" w:rsidP="00175659">
      <w:r>
        <w:t>This means that automated-decision making and profiling of patients is performed by the NHS based upon the i</w:t>
      </w:r>
      <w:r w:rsidR="00175659" w:rsidRPr="00537A6D">
        <w:t>nformation about you</w:t>
      </w:r>
      <w:r w:rsidR="001D6DAE">
        <w:t xml:space="preserve"> that</w:t>
      </w:r>
      <w:r w:rsidR="00175659" w:rsidRPr="00537A6D">
        <w:t xml:space="preserve"> is collected from a number of sources inclu</w:t>
      </w:r>
      <w:r w:rsidR="00175659">
        <w:t>ding this General</w:t>
      </w:r>
      <w:r w:rsidR="00175659" w:rsidRPr="00537A6D">
        <w:t xml:space="preserve"> Practice</w:t>
      </w:r>
      <w:r w:rsidR="00175659">
        <w:t xml:space="preserve"> and NHS Trusts</w:t>
      </w:r>
      <w:r>
        <w:t xml:space="preserve">. </w:t>
      </w:r>
      <w:r w:rsidR="00175659" w:rsidRPr="00537A6D">
        <w:t xml:space="preserve">A risk score is arrived at through an analysis of your de-identified information </w:t>
      </w:r>
      <w:r w:rsidR="00175659">
        <w:t xml:space="preserve">(so you cannot be personally identified at this stage) </w:t>
      </w:r>
      <w:r w:rsidR="00175659" w:rsidRPr="00537A6D">
        <w:t>using</w:t>
      </w:r>
      <w:r w:rsidR="005B789B">
        <w:t xml:space="preserve"> computer</w:t>
      </w:r>
      <w:r w:rsidR="00175659" w:rsidRPr="00537A6D">
        <w:t xml:space="preserve"> software, an</w:t>
      </w:r>
      <w:r w:rsidR="00175659">
        <w:t>d is only provided back to your General Practice</w:t>
      </w:r>
      <w:r w:rsidR="00175659" w:rsidRPr="00537A6D">
        <w:t xml:space="preserve"> as data cont</w:t>
      </w:r>
      <w:r w:rsidR="00175659">
        <w:t>roller in an identifiable form.</w:t>
      </w:r>
    </w:p>
    <w:p w14:paraId="6CA65354" w14:textId="77777777" w:rsidR="00175659" w:rsidRDefault="00175659" w:rsidP="00175659">
      <w:r w:rsidRPr="00537A6D">
        <w:t xml:space="preserve">Risk stratification enables your GP to focus on preventing </w:t>
      </w:r>
      <w:r>
        <w:t xml:space="preserve">your </w:t>
      </w:r>
      <w:r w:rsidRPr="00537A6D">
        <w:t>ill health and not just the treatment of sickness. If necessary your GP may be able to offer you additional services. Please note that you have the right to opt out of y</w:t>
      </w:r>
      <w:r>
        <w:t xml:space="preserve">our data being used in this way by contacting our </w:t>
      </w:r>
      <w:r w:rsidR="00F85203">
        <w:t xml:space="preserve">General </w:t>
      </w:r>
      <w:r>
        <w:t>Practice - contact details are included at the end of this Practice Privacy Notice.</w:t>
      </w:r>
    </w:p>
    <w:p w14:paraId="43D7B840" w14:textId="77777777" w:rsidR="00175659" w:rsidRDefault="00175659" w:rsidP="00175659">
      <w:pPr>
        <w:pStyle w:val="Heading2"/>
      </w:pPr>
      <w:r>
        <w:t>MedicineS Management</w:t>
      </w:r>
      <w:r w:rsidR="005B789B">
        <w:t xml:space="preserve"> – reviewing you prescriptions</w:t>
      </w:r>
    </w:p>
    <w:p w14:paraId="45C4371B" w14:textId="71027B69" w:rsidR="00175659" w:rsidRDefault="00175659" w:rsidP="00175659">
      <w:r>
        <w:t>Our General Practice may conduct Medicines Management Reviews of medications prescribed to individual patients. This service performs a review of prescribed medications to ensure patients receive the most appropriate, up to date and cost</w:t>
      </w:r>
      <w:r w:rsidR="00DE71BC">
        <w:t>-</w:t>
      </w:r>
      <w:r>
        <w:t>effective treatments.</w:t>
      </w:r>
      <w:r w:rsidR="00BD244D">
        <w:t xml:space="preserve">  This service is provided to practices within North Yorkshire through </w:t>
      </w:r>
      <w:r w:rsidR="00EE6FD5">
        <w:t>Humber and North Yorkshire Integrated Care Board</w:t>
      </w:r>
      <w:r w:rsidR="00BD244D">
        <w:t>.</w:t>
      </w:r>
    </w:p>
    <w:p w14:paraId="1382E812" w14:textId="77777777" w:rsidR="00DE71BC" w:rsidRDefault="00DE71BC" w:rsidP="00DE71BC">
      <w:pPr>
        <w:pStyle w:val="Heading2"/>
      </w:pPr>
      <w:r>
        <w:t xml:space="preserve">CCTV CAMERAS – </w:t>
      </w:r>
      <w:r w:rsidRPr="00DE71BC">
        <w:t xml:space="preserve">employee monitoring, staff security </w:t>
      </w:r>
      <w:r>
        <w:t>&amp; CRIME PREVENTION</w:t>
      </w:r>
    </w:p>
    <w:p w14:paraId="200DA52D" w14:textId="77777777" w:rsidR="00DE71BC" w:rsidRDefault="00DE71BC" w:rsidP="00DE71BC">
      <w:r>
        <w:t xml:space="preserve">Our General Practice may make </w:t>
      </w:r>
      <w:r w:rsidRPr="00DE71BC">
        <w:t>CCTV video recordings</w:t>
      </w:r>
      <w:r>
        <w:t xml:space="preserve"> that</w:t>
      </w:r>
      <w:r w:rsidRPr="00DE71BC">
        <w:t xml:space="preserve"> are captured and stored for the purposes of holding data relating to employee monitoring, staff security and to also identify individuals engaged in criminal activity on our premises. This footage is of sufficient quality to identify individuals and will be made available to the police should they legally request to view it. Our CCTV recordings are stored securely and encrypted wherever possible. Individuals have the right to request a copy of any CCTV footage in which they are in focus and/or clearly identifiable. If the request is valid and permissible we can supply the individual with that footage within 30 days of the validation.</w:t>
      </w:r>
    </w:p>
    <w:p w14:paraId="46867063" w14:textId="77777777" w:rsidR="00C661CC" w:rsidRDefault="00C661CC" w:rsidP="006D039B">
      <w:pPr>
        <w:pStyle w:val="ListParagraph"/>
        <w:numPr>
          <w:ilvl w:val="0"/>
          <w:numId w:val="34"/>
        </w:numPr>
      </w:pPr>
      <w:r>
        <w:br w:type="page"/>
      </w:r>
    </w:p>
    <w:p w14:paraId="2E9252EB" w14:textId="77777777" w:rsidR="00175659" w:rsidRDefault="00175659" w:rsidP="00175659">
      <w:pPr>
        <w:pStyle w:val="Heading1"/>
      </w:pPr>
      <w:bookmarkStart w:id="2" w:name="_Toc514945662"/>
      <w:r>
        <w:lastRenderedPageBreak/>
        <w:t>Your Medical Records</w:t>
      </w:r>
      <w:bookmarkEnd w:id="2"/>
    </w:p>
    <w:p w14:paraId="3E83C9C1" w14:textId="77777777" w:rsidR="00175659" w:rsidRPr="00135057" w:rsidRDefault="007E2156" w:rsidP="00175659">
      <w:r>
        <w:rPr>
          <w:noProof/>
          <w:lang w:val="en-GB" w:eastAsia="en-GB"/>
        </w:rPr>
        <w:drawing>
          <wp:inline distT="0" distB="0" distL="0" distR="0" wp14:anchorId="4587074A" wp14:editId="682F6B03">
            <wp:extent cx="5640705" cy="233362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Your-medical-records.jpg"/>
                    <pic:cNvPicPr/>
                  </pic:nvPicPr>
                  <pic:blipFill rotWithShape="1">
                    <a:blip r:embed="rId15">
                      <a:extLst>
                        <a:ext uri="{28A0092B-C50C-407E-A947-70E740481C1C}">
                          <a14:useLocalDpi xmlns:a14="http://schemas.microsoft.com/office/drawing/2010/main" val="0"/>
                        </a:ext>
                      </a:extLst>
                    </a:blip>
                    <a:srcRect b="3620"/>
                    <a:stretch/>
                  </pic:blipFill>
                  <pic:spPr bwMode="auto">
                    <a:xfrm>
                      <a:off x="0" y="0"/>
                      <a:ext cx="5640705" cy="2333625"/>
                    </a:xfrm>
                    <a:prstGeom prst="rect">
                      <a:avLst/>
                    </a:prstGeom>
                    <a:ln>
                      <a:noFill/>
                    </a:ln>
                    <a:extLst>
                      <a:ext uri="{53640926-AAD7-44D8-BBD7-CCE9431645EC}">
                        <a14:shadowObscured xmlns:a14="http://schemas.microsoft.com/office/drawing/2010/main"/>
                      </a:ext>
                    </a:extLst>
                  </pic:spPr>
                </pic:pic>
              </a:graphicData>
            </a:graphic>
          </wp:inline>
        </w:drawing>
      </w:r>
    </w:p>
    <w:p w14:paraId="60DFB66C" w14:textId="77777777" w:rsidR="00175659" w:rsidRPr="009C7267" w:rsidRDefault="00175659" w:rsidP="00175659">
      <w:pPr>
        <w:pStyle w:val="TableHeading"/>
      </w:pPr>
      <w:r w:rsidRPr="009C7267">
        <w:t xml:space="preserve">Medical records </w:t>
      </w:r>
      <w:r w:rsidR="00307DA1">
        <w:t>CAN BE</w:t>
      </w:r>
      <w:r w:rsidRPr="009C7267">
        <w:t xml:space="preserve"> defined as a “chronological written account of a patient's examination and treatment that includes the patient's medical history and complaints, the physician's physical findings, the results of diagnostic tests and procedures, medications and therapeutic procedures.”</w:t>
      </w:r>
    </w:p>
    <w:p w14:paraId="016627C0" w14:textId="77777777" w:rsidR="00175659" w:rsidRDefault="005B789B" w:rsidP="00175659">
      <w:pPr>
        <w:pStyle w:val="Heading2"/>
      </w:pPr>
      <w:r>
        <w:t xml:space="preserve">Can i ask for my personal </w:t>
      </w:r>
      <w:r w:rsidR="00EE5B23" w:rsidRPr="00EA1F5B">
        <w:rPr>
          <w:b/>
        </w:rPr>
        <w:t>NHS SUMMARY CARE</w:t>
      </w:r>
      <w:r w:rsidR="00EE5B23">
        <w:t xml:space="preserve"> </w:t>
      </w:r>
      <w:r w:rsidR="00175659">
        <w:t>medical records to be deleted?</w:t>
      </w:r>
    </w:p>
    <w:p w14:paraId="470FB469" w14:textId="77777777" w:rsidR="00175659" w:rsidRDefault="00175659" w:rsidP="008B04E6">
      <w:pPr>
        <w:pStyle w:val="ListBullet"/>
        <w:numPr>
          <w:ilvl w:val="0"/>
          <w:numId w:val="0"/>
        </w:numPr>
      </w:pPr>
      <w:r>
        <w:t>There is no absolute ‘right to be forgotten’ on General Practice computer systems. Patients can ask for their personal data to be erased when there is no compelling reason for its continued processing. Requests by our patients will be assessed on their own merits.</w:t>
      </w:r>
      <w:r w:rsidR="00307DA1">
        <w:t xml:space="preserve"> W</w:t>
      </w:r>
      <w:r>
        <w:t xml:space="preserve">e have very good reasons for lawfully processing much of the personal </w:t>
      </w:r>
      <w:r w:rsidR="008B04E6">
        <w:t>information</w:t>
      </w:r>
      <w:r>
        <w:t xml:space="preserve"> we hold for the purposes of providing continued patient and community care.</w:t>
      </w:r>
      <w:r w:rsidRPr="00AA576B">
        <w:t xml:space="preserve"> </w:t>
      </w:r>
      <w:r>
        <w:t>In summary p</w:t>
      </w:r>
      <w:r w:rsidRPr="001924A2">
        <w:t xml:space="preserve">atients </w:t>
      </w:r>
      <w:r>
        <w:t>need to</w:t>
      </w:r>
      <w:r w:rsidRPr="001924A2">
        <w:t xml:space="preserve"> understand</w:t>
      </w:r>
      <w:r>
        <w:t xml:space="preserve"> </w:t>
      </w:r>
      <w:r w:rsidRPr="001924A2">
        <w:t xml:space="preserve">how </w:t>
      </w:r>
      <w:r>
        <w:t>medical records benefit</w:t>
      </w:r>
      <w:r w:rsidRPr="001924A2">
        <w:t xml:space="preserve"> both their own health needs and those of the broader population</w:t>
      </w:r>
      <w:r>
        <w:t>.</w:t>
      </w:r>
      <w:r w:rsidR="008B04E6">
        <w:t xml:space="preserve"> </w:t>
      </w:r>
      <w:r>
        <w:t>Some of the purposes why your personal medical records need to be processed</w:t>
      </w:r>
      <w:r w:rsidR="005B789B">
        <w:t xml:space="preserve"> are</w:t>
      </w:r>
      <w:r>
        <w:t>:</w:t>
      </w:r>
    </w:p>
    <w:p w14:paraId="4088FACF" w14:textId="77777777" w:rsidR="00175659" w:rsidRDefault="00175659" w:rsidP="00175659">
      <w:pPr>
        <w:pStyle w:val="ListBullet"/>
      </w:pPr>
      <w:r>
        <w:t>To ensure you receive the best possible care, your records are used to f</w:t>
      </w:r>
      <w:r w:rsidR="008D3526">
        <w:t>acilitate the ongoing treatment</w:t>
      </w:r>
      <w:r>
        <w:t xml:space="preserve"> and emergency care you receive from the NHS – for example in a medical emergency it could be critical for a clinician to know </w:t>
      </w:r>
      <w:r w:rsidR="008B04E6">
        <w:t>if</w:t>
      </w:r>
      <w:r>
        <w:t xml:space="preserve"> you suffer allergic reactions to certain medicines.</w:t>
      </w:r>
    </w:p>
    <w:p w14:paraId="620AB442" w14:textId="77777777" w:rsidR="00175659" w:rsidRDefault="00175659" w:rsidP="00175659">
      <w:pPr>
        <w:pStyle w:val="ListBullet"/>
      </w:pPr>
      <w:r>
        <w:t>Information held about you may be used to help protect the health of the public and to help us manage the NHS.</w:t>
      </w:r>
    </w:p>
    <w:p w14:paraId="4FB238BE" w14:textId="75A1A0FD" w:rsidR="00175659" w:rsidRDefault="00175659" w:rsidP="00175659">
      <w:pPr>
        <w:pStyle w:val="ListBullet"/>
      </w:pPr>
      <w:r>
        <w:t xml:space="preserve">NHS England and its </w:t>
      </w:r>
      <w:r w:rsidR="00EE6FD5">
        <w:t>Integrated Care Boards</w:t>
      </w:r>
      <w:r>
        <w:t xml:space="preserve"> are tasked by the UK Government </w:t>
      </w:r>
      <w:r w:rsidRPr="00B226CB">
        <w:t>to obtain a picture of the health and needs of the local population</w:t>
      </w:r>
      <w:r>
        <w:t>.</w:t>
      </w:r>
    </w:p>
    <w:p w14:paraId="0337B907" w14:textId="77777777" w:rsidR="00175659" w:rsidRDefault="00175659" w:rsidP="00175659">
      <w:pPr>
        <w:pStyle w:val="ListBullet"/>
      </w:pPr>
      <w:r>
        <w:t>Information may be used within our General Practice for clinical audit to monitor the quality of the service we provide.</w:t>
      </w:r>
    </w:p>
    <w:p w14:paraId="0BC1F985" w14:textId="77777777" w:rsidR="00307DA1" w:rsidRDefault="00175659" w:rsidP="00175659">
      <w:pPr>
        <w:pStyle w:val="ListBullet"/>
      </w:pPr>
      <w:r>
        <w:t>Some of this information will be held centrally and used for statistical purposes. Where we do this, we take strict measures to ensure that individual patients cannot be identified.</w:t>
      </w:r>
    </w:p>
    <w:p w14:paraId="2B8E0ABC" w14:textId="77777777" w:rsidR="008B70AC" w:rsidRDefault="00175659" w:rsidP="008B70AC">
      <w:pPr>
        <w:pStyle w:val="ListBullet"/>
      </w:pPr>
      <w:r>
        <w:t>Sometimes your</w:t>
      </w:r>
      <w:r w:rsidR="008B04E6">
        <w:t xml:space="preserve"> </w:t>
      </w:r>
      <w:r>
        <w:t>information may be requested to be used for research purposes – our surgery will always gain your consent before releasing the information for this purpose.</w:t>
      </w:r>
    </w:p>
    <w:p w14:paraId="033E873D" w14:textId="77777777" w:rsidR="008B70AC" w:rsidRDefault="008B70AC" w:rsidP="008B70AC">
      <w:pPr>
        <w:pStyle w:val="Heading2"/>
      </w:pPr>
      <w:r>
        <w:lastRenderedPageBreak/>
        <w:t xml:space="preserve">Can i OBJECT TO HOW MY INFORMATION IS PROCESSED </w:t>
      </w:r>
      <w:r w:rsidR="00E13FB3">
        <w:t>and</w:t>
      </w:r>
      <w:r>
        <w:t xml:space="preserve"> USED ELSEWHERE?</w:t>
      </w:r>
    </w:p>
    <w:p w14:paraId="10D6D531" w14:textId="77777777" w:rsidR="008B70AC" w:rsidRDefault="008B70AC" w:rsidP="008B70AC">
      <w:r>
        <w:t xml:space="preserve">You have the right to control how medical information about you is processed, used, shared, disseminated or sold, for purposes other than your direct medical care - so called </w:t>
      </w:r>
      <w:r w:rsidRPr="00D16F34">
        <w:rPr>
          <w:b/>
        </w:rPr>
        <w:t>secondary uses</w:t>
      </w:r>
      <w:r>
        <w:t xml:space="preserve"> (or purposes).</w:t>
      </w:r>
      <w:r w:rsidR="00556D5C" w:rsidRPr="00556D5C">
        <w:t xml:space="preserve"> </w:t>
      </w:r>
      <w:r w:rsidR="00556D5C">
        <w:t>Secondary uses are not about information sharing between healthcare professionals.</w:t>
      </w:r>
    </w:p>
    <w:p w14:paraId="1CBD601B" w14:textId="09110163" w:rsidR="00556D5C" w:rsidRDefault="008B70AC" w:rsidP="00556D5C">
      <w:r>
        <w:t xml:space="preserve">Secondary uses include projects involved in risk stratification, “population health management”, national clinical audits, research, healthcare planning, commissioning of healthcare services by </w:t>
      </w:r>
      <w:r w:rsidR="00EE6FD5">
        <w:t>ICB'</w:t>
      </w:r>
      <w:r>
        <w:t>s (</w:t>
      </w:r>
      <w:r w:rsidR="00EE6FD5">
        <w:t>Integrated Care Board</w:t>
      </w:r>
      <w:r>
        <w:t>), commercial and even political uses.</w:t>
      </w:r>
    </w:p>
    <w:p w14:paraId="281CAD7C" w14:textId="77777777" w:rsidR="00556D5C" w:rsidRDefault="008B70AC" w:rsidP="00E13FB3">
      <w:r>
        <w:t xml:space="preserve">You can control your personal confidential information by expressing an objection, or </w:t>
      </w:r>
      <w:r w:rsidR="006E1059">
        <w:t>“</w:t>
      </w:r>
      <w:r>
        <w:t>opt-out</w:t>
      </w:r>
      <w:r w:rsidR="006E1059">
        <w:t>”</w:t>
      </w:r>
      <w:r>
        <w:t xml:space="preserve"> to our surgery. We will then add a special </w:t>
      </w:r>
      <w:r w:rsidRPr="00F71BAF">
        <w:rPr>
          <w:i/>
        </w:rPr>
        <w:t>read-code</w:t>
      </w:r>
      <w:r>
        <w:t xml:space="preserve">, or electronic flag, to your GP </w:t>
      </w:r>
      <w:r w:rsidR="006E1059">
        <w:t>record</w:t>
      </w:r>
      <w:r w:rsidR="00F71BAF">
        <w:t xml:space="preserve"> on the computer systems we use</w:t>
      </w:r>
      <w:r w:rsidR="00E13FB3">
        <w:t xml:space="preserve">. </w:t>
      </w:r>
      <w:r w:rsidR="00556D5C">
        <w:t>Secondary use objections (</w:t>
      </w:r>
      <w:r w:rsidR="00624580">
        <w:t xml:space="preserve">classed as </w:t>
      </w:r>
      <w:r w:rsidR="00556D5C">
        <w:t xml:space="preserve">either a </w:t>
      </w:r>
      <w:r w:rsidR="00556D5C" w:rsidRPr="00D16F34">
        <w:rPr>
          <w:b/>
        </w:rPr>
        <w:t>Type 1</w:t>
      </w:r>
      <w:r w:rsidR="00556D5C">
        <w:t xml:space="preserve"> or </w:t>
      </w:r>
      <w:r w:rsidR="00556D5C" w:rsidRPr="00D16F34">
        <w:rPr>
          <w:b/>
        </w:rPr>
        <w:t>Type 2</w:t>
      </w:r>
      <w:r w:rsidR="00624580">
        <w:rPr>
          <w:b/>
        </w:rPr>
        <w:t xml:space="preserve"> </w:t>
      </w:r>
      <w:r w:rsidR="00624580" w:rsidRPr="00624580">
        <w:t>opt-outs</w:t>
      </w:r>
      <w:r w:rsidR="00556D5C">
        <w:t xml:space="preserve">) will in no way affect how healthcare professionals provide you with direct medical care, or prevent them accessing your medical record if and when appropriate, and with your explicit consent. </w:t>
      </w:r>
      <w:r w:rsidR="00E13FB3">
        <w:t>With a Type 1 or Type 2 opt-out in force, you may still be invited to cervical screening, breast screening, bowel cancer screening, diabetic retinopathy screening, abdominal aortic aneurysm screening, and any other current or future national screening programmes.</w:t>
      </w:r>
    </w:p>
    <w:p w14:paraId="6F383CAE" w14:textId="77777777" w:rsidR="006E1059" w:rsidRDefault="006E1059" w:rsidP="00EA1F5B">
      <w:pPr>
        <w:pStyle w:val="Heading3"/>
      </w:pPr>
      <w:r>
        <w:t>Type 1 opt-out</w:t>
      </w:r>
    </w:p>
    <w:p w14:paraId="5B7CE478" w14:textId="77777777" w:rsidR="00F71BAF" w:rsidRDefault="006E1059" w:rsidP="00F71BAF">
      <w:r>
        <w:t>A Type 1 opt-</w:t>
      </w:r>
      <w:r w:rsidR="00624580">
        <w:t xml:space="preserve">out (sometimes referred to as a </w:t>
      </w:r>
      <w:r w:rsidR="00081184" w:rsidRPr="00081184">
        <w:rPr>
          <w:b/>
        </w:rPr>
        <w:t>XaZ89</w:t>
      </w:r>
      <w:r w:rsidR="00200E6D">
        <w:rPr>
          <w:b/>
        </w:rPr>
        <w:t xml:space="preserve"> or </w:t>
      </w:r>
      <w:r w:rsidR="00200E6D" w:rsidRPr="006E1059">
        <w:rPr>
          <w:b/>
        </w:rPr>
        <w:t>9Nu0</w:t>
      </w:r>
      <w:r w:rsidR="00624580">
        <w:t xml:space="preserve"> opt-out) </w:t>
      </w:r>
      <w:r>
        <w:t>when present in your GP record, should prevent identifiable information about you being extracted from your GP record, and uploaded to any other organisation for purposes other than your direct care.</w:t>
      </w:r>
      <w:r w:rsidR="005E64ED">
        <w:t xml:space="preserve"> </w:t>
      </w:r>
      <w:r w:rsidR="00F71BAF">
        <w:t>If you request a Type 1 opt-out then it will prohibit extraction and uploading for all of the following secondary uses:</w:t>
      </w:r>
    </w:p>
    <w:p w14:paraId="6155BE90" w14:textId="77777777" w:rsidR="00F71BAF" w:rsidRDefault="00F71BAF" w:rsidP="00F71BAF">
      <w:pPr>
        <w:pStyle w:val="ListParagraph"/>
        <w:numPr>
          <w:ilvl w:val="0"/>
          <w:numId w:val="36"/>
        </w:numPr>
      </w:pPr>
      <w:r>
        <w:t>Risk stratification schemes</w:t>
      </w:r>
    </w:p>
    <w:p w14:paraId="317C7487" w14:textId="77777777" w:rsidR="00F71BAF" w:rsidRDefault="00F71BAF" w:rsidP="00F71BAF">
      <w:pPr>
        <w:pStyle w:val="ListParagraph"/>
        <w:numPr>
          <w:ilvl w:val="0"/>
          <w:numId w:val="36"/>
        </w:numPr>
      </w:pPr>
      <w:r>
        <w:t>National clinical audits (such as the National Diabetes Audit)</w:t>
      </w:r>
    </w:p>
    <w:p w14:paraId="0E8F2D32" w14:textId="77777777" w:rsidR="00F71BAF" w:rsidRDefault="00F71BAF" w:rsidP="00F71BAF">
      <w:pPr>
        <w:pStyle w:val="ListParagraph"/>
        <w:numPr>
          <w:ilvl w:val="0"/>
          <w:numId w:val="36"/>
        </w:numPr>
      </w:pPr>
      <w:r>
        <w:t>The Clinical Practice Research Datalink (CPRD)</w:t>
      </w:r>
    </w:p>
    <w:p w14:paraId="25C59BF3" w14:textId="77777777" w:rsidR="00F71BAF" w:rsidRDefault="00F71BAF" w:rsidP="00F71BAF">
      <w:pPr>
        <w:pStyle w:val="ListParagraph"/>
        <w:numPr>
          <w:ilvl w:val="0"/>
          <w:numId w:val="36"/>
        </w:numPr>
      </w:pPr>
      <w:r>
        <w:t>Extraction of de-identified information about you concerning any eMed3 (i.e. fit notes)</w:t>
      </w:r>
    </w:p>
    <w:p w14:paraId="28FC8961" w14:textId="77777777" w:rsidR="00F71BAF" w:rsidRDefault="00F71BAF" w:rsidP="00F71BAF">
      <w:pPr>
        <w:pStyle w:val="ListParagraph"/>
        <w:numPr>
          <w:ilvl w:val="0"/>
          <w:numId w:val="36"/>
        </w:numPr>
      </w:pPr>
      <w:r>
        <w:t>Statement of Fitness to Work reports (i.e. sick notes), uploaded to NHS Digital, and subsequently passed by NHS Digital to the Department of Work and Pensions</w:t>
      </w:r>
    </w:p>
    <w:p w14:paraId="7B2F0861" w14:textId="77777777" w:rsidR="006E1059" w:rsidRDefault="00F71BAF" w:rsidP="00F71BAF">
      <w:pPr>
        <w:pStyle w:val="ListParagraph"/>
        <w:numPr>
          <w:ilvl w:val="0"/>
          <w:numId w:val="36"/>
        </w:numPr>
      </w:pPr>
      <w:r>
        <w:t>All extractions and uploading of identifiable information about you to NHS Digital, for any secondary purpose (so-called GPES extractions)</w:t>
      </w:r>
    </w:p>
    <w:p w14:paraId="56616FA4" w14:textId="77777777" w:rsidR="00D16F34" w:rsidRDefault="00D16F34" w:rsidP="00D16F34">
      <w:pPr>
        <w:pStyle w:val="Heading3"/>
      </w:pPr>
      <w:r>
        <w:t>Type 2 opt-out</w:t>
      </w:r>
    </w:p>
    <w:p w14:paraId="7304D0E6" w14:textId="77777777" w:rsidR="00624580" w:rsidRDefault="00624580" w:rsidP="00624580">
      <w:r>
        <w:t>A</w:t>
      </w:r>
      <w:r w:rsidR="00D16F34">
        <w:t xml:space="preserve"> Type 2 opt-out (sometimes referred to as a </w:t>
      </w:r>
      <w:r w:rsidR="00200E6D" w:rsidRPr="00081184">
        <w:rPr>
          <w:b/>
        </w:rPr>
        <w:t>XaaVL</w:t>
      </w:r>
      <w:r w:rsidR="00200E6D" w:rsidRPr="00D16F34">
        <w:rPr>
          <w:b/>
        </w:rPr>
        <w:t xml:space="preserve"> </w:t>
      </w:r>
      <w:r w:rsidR="00200E6D">
        <w:rPr>
          <w:b/>
        </w:rPr>
        <w:t xml:space="preserve">or </w:t>
      </w:r>
      <w:r w:rsidR="00D16F34" w:rsidRPr="00D16F34">
        <w:rPr>
          <w:b/>
        </w:rPr>
        <w:t>9Nu4</w:t>
      </w:r>
      <w:r w:rsidR="00081184">
        <w:rPr>
          <w:b/>
        </w:rPr>
        <w:t xml:space="preserve"> </w:t>
      </w:r>
      <w:r w:rsidR="00D16F34">
        <w:t>opt-out)</w:t>
      </w:r>
      <w:r>
        <w:t xml:space="preserve"> when present in your GP record </w:t>
      </w:r>
      <w:r w:rsidR="00D16F34">
        <w:t xml:space="preserve">acts to control information about you as held by NHS Digital (formerly the “HSCIC”). </w:t>
      </w:r>
      <w:r>
        <w:t>It will not prevent NHS Digital disseminating, sharing, or selling, information about you that is either effectively anonymised (i.e. cannot identify you) or aggregated (i.e. just numbers).</w:t>
      </w:r>
    </w:p>
    <w:p w14:paraId="1ACEFE18" w14:textId="77777777" w:rsidR="005E64ED" w:rsidRDefault="00D16F34" w:rsidP="00D16F34">
      <w:pPr>
        <w:rPr>
          <w:rStyle w:val="Hyperlink"/>
        </w:rPr>
      </w:pPr>
      <w:r>
        <w:t>NHS Digital holds information about you obtained from a variety of sources, such as hospital trusts, mental health services, maternity records, community records, collectively known as Hospital Episode Statistics (HES). It also holds some information from your GP record.</w:t>
      </w:r>
      <w:r w:rsidR="00E13FB3">
        <w:t xml:space="preserve"> </w:t>
      </w:r>
      <w:r>
        <w:t>NHS Digital</w:t>
      </w:r>
      <w:r w:rsidR="005E64ED">
        <w:t xml:space="preserve"> </w:t>
      </w:r>
      <w:r>
        <w:t>handles your information</w:t>
      </w:r>
      <w:r w:rsidR="005E64ED" w:rsidRPr="005E64ED">
        <w:t xml:space="preserve"> </w:t>
      </w:r>
      <w:r w:rsidR="005E64ED">
        <w:t>with</w:t>
      </w:r>
      <w:r w:rsidR="005E64ED" w:rsidRPr="005E64ED">
        <w:t xml:space="preserve"> a new tool that people can use to opt out of their confidential patient information being used for reasons other than their individual care and treatment. It will be secure and accessible, and wil</w:t>
      </w:r>
      <w:r w:rsidR="00E13FB3">
        <w:t xml:space="preserve">l be available from 25 May 2018 - </w:t>
      </w:r>
      <w:hyperlink r:id="rId16" w:history="1">
        <w:r w:rsidR="005E64ED" w:rsidRPr="00D70B19">
          <w:rPr>
            <w:rStyle w:val="Hyperlink"/>
          </w:rPr>
          <w:t>https://digital.nhs.uk/services/national-data-opt-out-programme</w:t>
        </w:r>
      </w:hyperlink>
    </w:p>
    <w:p w14:paraId="11F69FFC" w14:textId="77777777" w:rsidR="00DC4626" w:rsidRPr="00DC4626" w:rsidRDefault="00DC4626" w:rsidP="00DC4626">
      <w:pPr>
        <w:pStyle w:val="Heading2"/>
        <w:rPr>
          <w:lang w:eastAsia="en-GB"/>
        </w:rPr>
      </w:pPr>
      <w:r w:rsidRPr="00DC4626">
        <w:rPr>
          <w:lang w:eastAsia="en-GB"/>
        </w:rPr>
        <w:lastRenderedPageBreak/>
        <w:t>How the NHS and care services use your information</w:t>
      </w:r>
    </w:p>
    <w:p w14:paraId="3D64420A" w14:textId="77777777" w:rsidR="00DC4626" w:rsidRPr="00DC4626" w:rsidRDefault="00DC4626" w:rsidP="00DC4626">
      <w:pPr>
        <w:rPr>
          <w:lang w:eastAsia="en-GB"/>
        </w:rPr>
      </w:pPr>
      <w:r>
        <w:rPr>
          <w:lang w:eastAsia="en-GB"/>
        </w:rPr>
        <w:t>Ayton and Snainton Medical Practice</w:t>
      </w:r>
      <w:r w:rsidRPr="00DC4626">
        <w:rPr>
          <w:lang w:eastAsia="en-GB"/>
        </w:rPr>
        <w:t xml:space="preserve"> is one of many organisations working in the health and care system to improve ca</w:t>
      </w:r>
      <w:r>
        <w:rPr>
          <w:lang w:eastAsia="en-GB"/>
        </w:rPr>
        <w:t>re for patients and the public</w:t>
      </w:r>
      <w:r w:rsidRPr="00DC4626">
        <w:rPr>
          <w:lang w:eastAsia="en-GB"/>
        </w:rPr>
        <w:t xml:space="preserve">.  </w:t>
      </w:r>
    </w:p>
    <w:p w14:paraId="4A465C03" w14:textId="77777777" w:rsidR="00DC4626" w:rsidRPr="00DC4626" w:rsidRDefault="00DC4626" w:rsidP="00DC4626">
      <w:pPr>
        <w:rPr>
          <w:lang w:eastAsia="en-GB"/>
        </w:rPr>
      </w:pPr>
      <w:r w:rsidRPr="00DC4626">
        <w:rPr>
          <w:lang w:eastAsia="en-GB"/>
        </w:rPr>
        <w:t>Whenever you use a health or care service, such as attending Accident &amp; Emergency or using Community Care services, important information about you is collected in a patient record for that service. Collecting this information helps to ensure you get the best possible care and treatment.</w:t>
      </w:r>
    </w:p>
    <w:p w14:paraId="0844CBE4" w14:textId="77777777" w:rsidR="00DC4626" w:rsidRPr="00DC4626" w:rsidRDefault="00DC4626" w:rsidP="00DC4626">
      <w:pPr>
        <w:rPr>
          <w:lang w:eastAsia="en-GB"/>
        </w:rPr>
      </w:pPr>
      <w:r w:rsidRPr="00DC4626">
        <w:rPr>
          <w:lang w:eastAsia="en-GB"/>
        </w:rPr>
        <w:t>The information collected about you when you use these services can also be used and provided to other organisations for purposes beyond your individual care, for instance to help with:</w:t>
      </w:r>
    </w:p>
    <w:p w14:paraId="524E936A" w14:textId="77777777" w:rsidR="00DC4626" w:rsidRPr="00DC4626" w:rsidRDefault="00DC4626" w:rsidP="00DC4626">
      <w:pPr>
        <w:rPr>
          <w:lang w:eastAsia="en-GB"/>
        </w:rPr>
      </w:pPr>
      <w:r w:rsidRPr="00DC4626">
        <w:rPr>
          <w:lang w:eastAsia="en-GB"/>
        </w:rPr>
        <w:t>•</w:t>
      </w:r>
      <w:r w:rsidRPr="00DC4626">
        <w:rPr>
          <w:lang w:eastAsia="en-GB"/>
        </w:rPr>
        <w:tab/>
        <w:t>improving the quality and standards of care provided</w:t>
      </w:r>
    </w:p>
    <w:p w14:paraId="2B7A1C15" w14:textId="77777777" w:rsidR="00DC4626" w:rsidRPr="00DC4626" w:rsidRDefault="00DC4626" w:rsidP="00DC4626">
      <w:pPr>
        <w:rPr>
          <w:lang w:eastAsia="en-GB"/>
        </w:rPr>
      </w:pPr>
      <w:r w:rsidRPr="00DC4626">
        <w:rPr>
          <w:lang w:eastAsia="en-GB"/>
        </w:rPr>
        <w:t>•</w:t>
      </w:r>
      <w:r w:rsidRPr="00DC4626">
        <w:rPr>
          <w:lang w:eastAsia="en-GB"/>
        </w:rPr>
        <w:tab/>
        <w:t xml:space="preserve">research into the development of new treatments </w:t>
      </w:r>
    </w:p>
    <w:p w14:paraId="06940B8D" w14:textId="77777777" w:rsidR="00DC4626" w:rsidRPr="00DC4626" w:rsidRDefault="00DC4626" w:rsidP="00DC4626">
      <w:pPr>
        <w:rPr>
          <w:lang w:eastAsia="en-GB"/>
        </w:rPr>
      </w:pPr>
      <w:r w:rsidRPr="00DC4626">
        <w:rPr>
          <w:lang w:eastAsia="en-GB"/>
        </w:rPr>
        <w:t>•</w:t>
      </w:r>
      <w:r w:rsidRPr="00DC4626">
        <w:rPr>
          <w:lang w:eastAsia="en-GB"/>
        </w:rPr>
        <w:tab/>
        <w:t>preventing illness and diseases</w:t>
      </w:r>
    </w:p>
    <w:p w14:paraId="788BE35B" w14:textId="77777777" w:rsidR="00DC4626" w:rsidRPr="00DC4626" w:rsidRDefault="00DC4626" w:rsidP="00DC4626">
      <w:pPr>
        <w:rPr>
          <w:lang w:eastAsia="en-GB"/>
        </w:rPr>
      </w:pPr>
      <w:r w:rsidRPr="00DC4626">
        <w:rPr>
          <w:lang w:eastAsia="en-GB"/>
        </w:rPr>
        <w:t>•</w:t>
      </w:r>
      <w:r w:rsidRPr="00DC4626">
        <w:rPr>
          <w:lang w:eastAsia="en-GB"/>
        </w:rPr>
        <w:tab/>
        <w:t>monitoring safety</w:t>
      </w:r>
    </w:p>
    <w:p w14:paraId="299E10AC" w14:textId="77777777" w:rsidR="00DC4626" w:rsidRPr="00DC4626" w:rsidRDefault="00DC4626" w:rsidP="00DC4626">
      <w:pPr>
        <w:rPr>
          <w:lang w:eastAsia="en-GB"/>
        </w:rPr>
      </w:pPr>
      <w:r w:rsidRPr="00DC4626">
        <w:rPr>
          <w:lang w:eastAsia="en-GB"/>
        </w:rPr>
        <w:t>•</w:t>
      </w:r>
      <w:r w:rsidRPr="00DC4626">
        <w:rPr>
          <w:lang w:eastAsia="en-GB"/>
        </w:rPr>
        <w:tab/>
        <w:t>planning services</w:t>
      </w:r>
    </w:p>
    <w:p w14:paraId="2FF25EA4" w14:textId="77777777" w:rsidR="00DC4626" w:rsidRPr="00DC4626" w:rsidRDefault="00DC4626" w:rsidP="00DC4626">
      <w:pPr>
        <w:rPr>
          <w:lang w:eastAsia="en-GB"/>
        </w:rPr>
      </w:pPr>
      <w:r w:rsidRPr="00DC4626">
        <w:rPr>
          <w:lang w:eastAsia="en-GB"/>
        </w:rPr>
        <w:t xml:space="preserve">This may only take place when there is a clear legal basis to use this information. All these uses help to provide better health and care for you, your family and future generations. Confidential patient information about your health and care is only used like this where allowed by law. </w:t>
      </w:r>
    </w:p>
    <w:p w14:paraId="00259059" w14:textId="77777777" w:rsidR="00DC4626" w:rsidRPr="00DC4626" w:rsidRDefault="00DC4626" w:rsidP="00DC4626">
      <w:pPr>
        <w:rPr>
          <w:lang w:eastAsia="en-GB"/>
        </w:rPr>
      </w:pPr>
      <w:r w:rsidRPr="00DC4626">
        <w:rPr>
          <w:lang w:eastAsia="en-GB"/>
        </w:rPr>
        <w:t>Most of the time, anonymised data is used for research and planning so that you cannot be identified in which case your confidential patient information isn’t needed.</w:t>
      </w:r>
    </w:p>
    <w:p w14:paraId="3C1F66D9" w14:textId="77777777" w:rsidR="00DC4626" w:rsidRPr="00DC4626" w:rsidRDefault="00DC4626" w:rsidP="00DC4626">
      <w:pPr>
        <w:rPr>
          <w:lang w:eastAsia="en-GB"/>
        </w:rPr>
      </w:pPr>
      <w:r w:rsidRPr="00DC4626">
        <w:rPr>
          <w:lang w:eastAsia="en-GB"/>
        </w:rPr>
        <w:t>You have a choice about whether you want your confidential patient information to be used in this way. If you are happy with this use of information you do not need to do anything. If you do choose to opt out your confidential patient information will still be used to support your individual care.</w:t>
      </w:r>
    </w:p>
    <w:p w14:paraId="1BB9555F" w14:textId="77777777" w:rsidR="00DC4626" w:rsidRPr="00DC4626" w:rsidRDefault="00DC4626" w:rsidP="00DC4626">
      <w:pPr>
        <w:rPr>
          <w:lang w:eastAsia="en-GB"/>
        </w:rPr>
      </w:pPr>
      <w:r w:rsidRPr="00DC4626">
        <w:rPr>
          <w:lang w:eastAsia="en-GB"/>
        </w:rPr>
        <w:t>To find out more or to register your choice to opt out, please visit</w:t>
      </w:r>
      <w:r>
        <w:rPr>
          <w:lang w:eastAsia="en-GB"/>
        </w:rPr>
        <w:t xml:space="preserve"> </w:t>
      </w:r>
      <w:r w:rsidRPr="00DC4626">
        <w:rPr>
          <w:lang w:eastAsia="en-GB"/>
        </w:rPr>
        <w:t xml:space="preserve"> www.nhs.uk/your-nhs-data-matters.  On this web page you will:</w:t>
      </w:r>
    </w:p>
    <w:p w14:paraId="300CEAC4" w14:textId="77777777" w:rsidR="00DC4626" w:rsidRPr="00DC4626" w:rsidRDefault="00DC4626" w:rsidP="00DC4626">
      <w:pPr>
        <w:rPr>
          <w:lang w:eastAsia="en-GB"/>
        </w:rPr>
      </w:pPr>
      <w:r w:rsidRPr="00DC4626">
        <w:rPr>
          <w:lang w:eastAsia="en-GB"/>
        </w:rPr>
        <w:t>•</w:t>
      </w:r>
      <w:r w:rsidRPr="00DC4626">
        <w:rPr>
          <w:lang w:eastAsia="en-GB"/>
        </w:rPr>
        <w:tab/>
        <w:t>See what is meant by confidential patient information</w:t>
      </w:r>
    </w:p>
    <w:p w14:paraId="7A971F17" w14:textId="77777777" w:rsidR="00DC4626" w:rsidRPr="00DC4626" w:rsidRDefault="00DC4626" w:rsidP="00DC4626">
      <w:pPr>
        <w:ind w:left="720" w:hanging="720"/>
        <w:rPr>
          <w:lang w:eastAsia="en-GB"/>
        </w:rPr>
      </w:pPr>
      <w:r w:rsidRPr="00DC4626">
        <w:rPr>
          <w:lang w:eastAsia="en-GB"/>
        </w:rPr>
        <w:t>•</w:t>
      </w:r>
      <w:r w:rsidRPr="00DC4626">
        <w:rPr>
          <w:lang w:eastAsia="en-GB"/>
        </w:rPr>
        <w:tab/>
        <w:t>Find examples of when confidential patient information is used for individual care and examples of when it is used for purposes beyond individual care</w:t>
      </w:r>
    </w:p>
    <w:p w14:paraId="1290B6E9" w14:textId="77777777" w:rsidR="00DC4626" w:rsidRPr="00DC4626" w:rsidRDefault="00DC4626" w:rsidP="00DC4626">
      <w:pPr>
        <w:rPr>
          <w:lang w:eastAsia="en-GB"/>
        </w:rPr>
      </w:pPr>
      <w:r w:rsidRPr="00DC4626">
        <w:rPr>
          <w:lang w:eastAsia="en-GB"/>
        </w:rPr>
        <w:t>•</w:t>
      </w:r>
      <w:r w:rsidRPr="00DC4626">
        <w:rPr>
          <w:lang w:eastAsia="en-GB"/>
        </w:rPr>
        <w:tab/>
        <w:t>Find out more about the benefits of sharing data</w:t>
      </w:r>
    </w:p>
    <w:p w14:paraId="54C5BE5E" w14:textId="77777777" w:rsidR="00DC4626" w:rsidRPr="00DC4626" w:rsidRDefault="00DC4626" w:rsidP="00DC4626">
      <w:pPr>
        <w:rPr>
          <w:lang w:eastAsia="en-GB"/>
        </w:rPr>
      </w:pPr>
      <w:r w:rsidRPr="00DC4626">
        <w:rPr>
          <w:lang w:eastAsia="en-GB"/>
        </w:rPr>
        <w:t>•</w:t>
      </w:r>
      <w:r w:rsidRPr="00DC4626">
        <w:rPr>
          <w:lang w:eastAsia="en-GB"/>
        </w:rPr>
        <w:tab/>
        <w:t>Understand more about who uses the data</w:t>
      </w:r>
    </w:p>
    <w:p w14:paraId="4124FF0E" w14:textId="77777777" w:rsidR="00DC4626" w:rsidRPr="00DC4626" w:rsidRDefault="00DC4626" w:rsidP="00DC4626">
      <w:pPr>
        <w:rPr>
          <w:lang w:eastAsia="en-GB"/>
        </w:rPr>
      </w:pPr>
      <w:r w:rsidRPr="00DC4626">
        <w:rPr>
          <w:lang w:eastAsia="en-GB"/>
        </w:rPr>
        <w:t>•</w:t>
      </w:r>
      <w:r w:rsidRPr="00DC4626">
        <w:rPr>
          <w:lang w:eastAsia="en-GB"/>
        </w:rPr>
        <w:tab/>
        <w:t>Find out how your data is protected</w:t>
      </w:r>
    </w:p>
    <w:p w14:paraId="43598CEF" w14:textId="77777777" w:rsidR="00DC4626" w:rsidRPr="00DC4626" w:rsidRDefault="00DC4626" w:rsidP="00DC4626">
      <w:pPr>
        <w:rPr>
          <w:lang w:eastAsia="en-GB"/>
        </w:rPr>
      </w:pPr>
      <w:r w:rsidRPr="00DC4626">
        <w:rPr>
          <w:lang w:eastAsia="en-GB"/>
        </w:rPr>
        <w:t>•</w:t>
      </w:r>
      <w:r w:rsidRPr="00DC4626">
        <w:rPr>
          <w:lang w:eastAsia="en-GB"/>
        </w:rPr>
        <w:tab/>
        <w:t>Be able to access the system to view, set or change your opt-out setting</w:t>
      </w:r>
    </w:p>
    <w:p w14:paraId="5D80864A" w14:textId="77777777" w:rsidR="00DC4626" w:rsidRPr="00DC4626" w:rsidRDefault="00DC4626" w:rsidP="00DC4626">
      <w:pPr>
        <w:ind w:left="720" w:hanging="720"/>
        <w:rPr>
          <w:lang w:eastAsia="en-GB"/>
        </w:rPr>
      </w:pPr>
      <w:r w:rsidRPr="00DC4626">
        <w:rPr>
          <w:lang w:eastAsia="en-GB"/>
        </w:rPr>
        <w:t>•</w:t>
      </w:r>
      <w:r w:rsidRPr="00DC4626">
        <w:rPr>
          <w:lang w:eastAsia="en-GB"/>
        </w:rPr>
        <w:tab/>
        <w:t xml:space="preserve">Find the contact telephone number if you want to know any more or to set/change your opt-out by phone </w:t>
      </w:r>
    </w:p>
    <w:p w14:paraId="26AC9A14" w14:textId="77777777" w:rsidR="00DC4626" w:rsidRPr="00DC4626" w:rsidRDefault="00DC4626" w:rsidP="00DC4626">
      <w:pPr>
        <w:rPr>
          <w:lang w:eastAsia="en-GB"/>
        </w:rPr>
      </w:pPr>
      <w:r w:rsidRPr="00DC4626">
        <w:rPr>
          <w:lang w:eastAsia="en-GB"/>
        </w:rPr>
        <w:t>•</w:t>
      </w:r>
      <w:r w:rsidRPr="00DC4626">
        <w:rPr>
          <w:lang w:eastAsia="en-GB"/>
        </w:rPr>
        <w:tab/>
        <w:t>See the situations where the opt-out will not apply</w:t>
      </w:r>
    </w:p>
    <w:p w14:paraId="469FB8E6" w14:textId="77777777" w:rsidR="00DC4626" w:rsidRPr="00DC4626" w:rsidRDefault="00DC4626" w:rsidP="00DC4626">
      <w:pPr>
        <w:rPr>
          <w:lang w:eastAsia="en-GB"/>
        </w:rPr>
      </w:pPr>
    </w:p>
    <w:p w14:paraId="78851BE7" w14:textId="77777777" w:rsidR="00DC4626" w:rsidRPr="00DC4626" w:rsidRDefault="00DC4626" w:rsidP="00DC4626">
      <w:pPr>
        <w:rPr>
          <w:lang w:eastAsia="en-GB"/>
        </w:rPr>
      </w:pPr>
      <w:r w:rsidRPr="00DC4626">
        <w:rPr>
          <w:lang w:eastAsia="en-GB"/>
        </w:rPr>
        <w:t>You can also find out more about how patient information is used at:</w:t>
      </w:r>
    </w:p>
    <w:p w14:paraId="258C70A5" w14:textId="77777777" w:rsidR="00DC4626" w:rsidRPr="00DC4626" w:rsidRDefault="00DC4626" w:rsidP="00DC4626">
      <w:pPr>
        <w:rPr>
          <w:lang w:eastAsia="en-GB"/>
        </w:rPr>
      </w:pPr>
      <w:r w:rsidRPr="00DC4626">
        <w:rPr>
          <w:lang w:eastAsia="en-GB"/>
        </w:rPr>
        <w:t>https://www.hra.nhs.uk/information-about-patients/ (which covers health and care research); and</w:t>
      </w:r>
    </w:p>
    <w:p w14:paraId="17CA2A02" w14:textId="77777777" w:rsidR="00DC4626" w:rsidRPr="00DC4626" w:rsidRDefault="00DC4626" w:rsidP="00DC4626">
      <w:pPr>
        <w:rPr>
          <w:lang w:eastAsia="en-GB"/>
        </w:rPr>
      </w:pPr>
      <w:r w:rsidRPr="00DC4626">
        <w:rPr>
          <w:lang w:eastAsia="en-GB"/>
        </w:rPr>
        <w:t>https://understandingpatientdata.org.uk/what-you-need-know (which covers how and why patient information is used, the safeguards and how decisions are made)</w:t>
      </w:r>
    </w:p>
    <w:p w14:paraId="41BA4DD1" w14:textId="77777777" w:rsidR="00DC4626" w:rsidRPr="00DC4626" w:rsidRDefault="00DC4626" w:rsidP="00DC4626">
      <w:pPr>
        <w:rPr>
          <w:lang w:eastAsia="en-GB"/>
        </w:rPr>
      </w:pPr>
      <w:r w:rsidRPr="00DC4626">
        <w:rPr>
          <w:lang w:eastAsia="en-GB"/>
        </w:rPr>
        <w:t>You can change your mind about your choice at any time.</w:t>
      </w:r>
    </w:p>
    <w:p w14:paraId="23482285" w14:textId="77777777" w:rsidR="00DC4626" w:rsidRPr="00DC4626" w:rsidRDefault="00DC4626" w:rsidP="00DC4626">
      <w:pPr>
        <w:rPr>
          <w:lang w:eastAsia="en-GB"/>
        </w:rPr>
      </w:pPr>
      <w:r w:rsidRPr="00DC4626">
        <w:rPr>
          <w:lang w:eastAsia="en-GB"/>
        </w:rPr>
        <w:t>Data being used or shared for purposes beyond individual care does not include your data being shared with insurance companies or used for marketing purposes and data would only be used in this way with your specific agreement.</w:t>
      </w:r>
    </w:p>
    <w:p w14:paraId="216108C2" w14:textId="6515FAE3" w:rsidR="00DC4626" w:rsidRPr="00DC4626" w:rsidRDefault="00DC4626" w:rsidP="00DC4626">
      <w:pPr>
        <w:rPr>
          <w:lang w:eastAsia="en-GB"/>
        </w:rPr>
      </w:pPr>
      <w:r w:rsidRPr="00DC4626">
        <w:rPr>
          <w:lang w:eastAsia="en-GB"/>
        </w:rPr>
        <w:t xml:space="preserve">Health and care organisations have until 2020 to put systems and processes in place so they can be compliant with the national data opt-out and apply your choice to any confidential patient information they use or share for purposes beyond your individual care. Our organisation is compliant with the national data opt-out policy. </w:t>
      </w:r>
    </w:p>
    <w:p w14:paraId="2299B60C" w14:textId="77777777" w:rsidR="00DC4626" w:rsidRDefault="00DC4626" w:rsidP="00D16F34"/>
    <w:p w14:paraId="5B43DEAF" w14:textId="77777777" w:rsidR="00E929AC" w:rsidRDefault="00E929AC" w:rsidP="00E929AC">
      <w:pPr>
        <w:rPr>
          <w:kern w:val="0"/>
        </w:rPr>
      </w:pPr>
      <w:r>
        <w:t xml:space="preserve">If you have any concerns about how your information is managed by the GP practice, please see the process outlined below: </w:t>
      </w:r>
    </w:p>
    <w:p w14:paraId="55C2B704" w14:textId="77777777" w:rsidR="00E929AC" w:rsidRDefault="00E929AC" w:rsidP="00E929AC">
      <w:r>
        <w:t xml:space="preserve">• Submit your complaint to the GP practice in the first instance. </w:t>
      </w:r>
    </w:p>
    <w:p w14:paraId="29F3ED52" w14:textId="77777777" w:rsidR="00E929AC" w:rsidRDefault="00E929AC" w:rsidP="00E929AC">
      <w:r>
        <w:t xml:space="preserve">• The practice will acknowledge your complaint within 30 days and will respond as promptly as possible. </w:t>
      </w:r>
    </w:p>
    <w:p w14:paraId="0DE4269A" w14:textId="77777777" w:rsidR="00E929AC" w:rsidRDefault="00E929AC" w:rsidP="00E929AC">
      <w:r>
        <w:t>• If you are not satisfied with the response, you must request a further review by the practice. If you remain dissatisfied following this review, you have the right to escalate your complaint to the UK supervisory authority. Information Commissioner: Wycliffe House Water Lane Wilmslow Cheshire SK9 5AF Tel: 0303 1231113 or 01625 545745</w:t>
      </w:r>
    </w:p>
    <w:p w14:paraId="36E82027" w14:textId="77777777" w:rsidR="00E929AC" w:rsidRDefault="00E929AC" w:rsidP="00D16F34"/>
    <w:p w14:paraId="7DE9AD58" w14:textId="77777777" w:rsidR="00175659" w:rsidRDefault="00175659" w:rsidP="00175659">
      <w:pPr>
        <w:pStyle w:val="Heading1"/>
      </w:pPr>
      <w:bookmarkStart w:id="3" w:name="_Toc514945663"/>
      <w:r>
        <w:lastRenderedPageBreak/>
        <w:t>E</w:t>
      </w:r>
      <w:r w:rsidR="000F4801">
        <w:t>lectronic Patient Records (EPR) s</w:t>
      </w:r>
      <w:r>
        <w:t>ystem</w:t>
      </w:r>
      <w:bookmarkEnd w:id="3"/>
    </w:p>
    <w:p w14:paraId="08ABF1A6" w14:textId="77777777" w:rsidR="00703245" w:rsidRDefault="007E2156" w:rsidP="00175659">
      <w:r>
        <w:rPr>
          <w:noProof/>
          <w:lang w:val="en-GB" w:eastAsia="en-GB"/>
        </w:rPr>
        <w:drawing>
          <wp:inline distT="0" distB="0" distL="0" distR="0" wp14:anchorId="7E2936B7" wp14:editId="0E250883">
            <wp:extent cx="5640705" cy="258127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EPR.jpg"/>
                    <pic:cNvPicPr/>
                  </pic:nvPicPr>
                  <pic:blipFill rotWithShape="1">
                    <a:blip r:embed="rId17">
                      <a:extLst>
                        <a:ext uri="{28A0092B-C50C-407E-A947-70E740481C1C}">
                          <a14:useLocalDpi xmlns:a14="http://schemas.microsoft.com/office/drawing/2010/main" val="0"/>
                        </a:ext>
                      </a:extLst>
                    </a:blip>
                    <a:srcRect b="33600"/>
                    <a:stretch/>
                  </pic:blipFill>
                  <pic:spPr bwMode="auto">
                    <a:xfrm>
                      <a:off x="0" y="0"/>
                      <a:ext cx="5640705" cy="2581275"/>
                    </a:xfrm>
                    <a:prstGeom prst="rect">
                      <a:avLst/>
                    </a:prstGeom>
                    <a:ln>
                      <a:noFill/>
                    </a:ln>
                    <a:extLst>
                      <a:ext uri="{53640926-AAD7-44D8-BBD7-CCE9431645EC}">
                        <a14:shadowObscured xmlns:a14="http://schemas.microsoft.com/office/drawing/2010/main"/>
                      </a:ext>
                    </a:extLst>
                  </pic:spPr>
                </pic:pic>
              </a:graphicData>
            </a:graphic>
          </wp:inline>
        </w:drawing>
      </w:r>
    </w:p>
    <w:p w14:paraId="47621757" w14:textId="77777777" w:rsidR="00E6631B" w:rsidRDefault="00175659" w:rsidP="00966625">
      <w:pPr>
        <w:pStyle w:val="TableHeading"/>
      </w:pPr>
      <w:r>
        <w:t>This practice uses an</w:t>
      </w:r>
      <w:r w:rsidRPr="00605AB3">
        <w:t xml:space="preserve"> EPR</w:t>
      </w:r>
      <w:r w:rsidR="000F4801">
        <w:t xml:space="preserve"> (</w:t>
      </w:r>
      <w:r w:rsidR="000F4801" w:rsidRPr="00E6631B">
        <w:t>Electronic Patient Record</w:t>
      </w:r>
      <w:r w:rsidR="000F4801">
        <w:t>)</w:t>
      </w:r>
      <w:r w:rsidRPr="00605AB3">
        <w:t xml:space="preserve"> </w:t>
      </w:r>
      <w:r w:rsidR="00E6631B">
        <w:t>computer service</w:t>
      </w:r>
      <w:r>
        <w:t xml:space="preserve"> </w:t>
      </w:r>
      <w:r w:rsidR="00966625">
        <w:t>supplied by</w:t>
      </w:r>
      <w:r w:rsidR="00E6631B">
        <w:t xml:space="preserve"> an NHS-</w:t>
      </w:r>
      <w:r>
        <w:t xml:space="preserve">approved </w:t>
      </w:r>
      <w:r w:rsidR="00966625">
        <w:t>health it systems company</w:t>
      </w:r>
      <w:r>
        <w:t xml:space="preserve"> </w:t>
      </w:r>
      <w:r w:rsidR="00E6631B">
        <w:t>who are located</w:t>
      </w:r>
      <w:r>
        <w:t xml:space="preserve"> in </w:t>
      </w:r>
      <w:r w:rsidR="00E6631B">
        <w:t>England</w:t>
      </w:r>
      <w:r w:rsidR="00966625">
        <w:t xml:space="preserve"> -</w:t>
      </w:r>
      <w:r w:rsidRPr="00605AB3">
        <w:t xml:space="preserve"> </w:t>
      </w:r>
      <w:r w:rsidR="00E6631B">
        <w:t>for storing and processing your medical records digitally</w:t>
      </w:r>
      <w:r w:rsidR="002530B3">
        <w:t xml:space="preserve">. Your personal data is referred to </w:t>
      </w:r>
      <w:r w:rsidR="00E6631B">
        <w:t>as a</w:t>
      </w:r>
      <w:r w:rsidR="000F4801">
        <w:t xml:space="preserve"> Summary Care Record</w:t>
      </w:r>
    </w:p>
    <w:p w14:paraId="19263AA0" w14:textId="77777777" w:rsidR="00175659" w:rsidRDefault="000F4801" w:rsidP="00175659">
      <w:r>
        <w:br/>
      </w:r>
      <w:r w:rsidR="00E6631B">
        <w:t>This system</w:t>
      </w:r>
      <w:r w:rsidR="00175659">
        <w:t xml:space="preserve"> </w:t>
      </w:r>
      <w:r w:rsidR="00175659" w:rsidRPr="00605AB3">
        <w:t>has been developed to help us treat our patients more effectively and to give healthcare staff quicker and easier access to up-to-date information about your treatment.</w:t>
      </w:r>
      <w:r w:rsidR="00966625">
        <w:t xml:space="preserve"> </w:t>
      </w:r>
      <w:r w:rsidR="00175659" w:rsidRPr="00A117ED">
        <w:t xml:space="preserve">All </w:t>
      </w:r>
      <w:r w:rsidR="00175659">
        <w:t>practice</w:t>
      </w:r>
      <w:r w:rsidR="00175659" w:rsidRPr="00A117ED">
        <w:t xml:space="preserve"> staff who are directly involved with your care will have some level of access to this system, which will be updated at ea</w:t>
      </w:r>
      <w:r w:rsidR="00175659">
        <w:t>ch point of a patient’s care.</w:t>
      </w:r>
      <w:r w:rsidR="00175659" w:rsidRPr="00A117ED">
        <w:t xml:space="preserve"> </w:t>
      </w:r>
      <w:r w:rsidR="00175659">
        <w:t>Y</w:t>
      </w:r>
      <w:r w:rsidR="00175659" w:rsidRPr="00A117ED">
        <w:t xml:space="preserve">our personal </w:t>
      </w:r>
      <w:r w:rsidR="00966625">
        <w:t>EPR</w:t>
      </w:r>
      <w:r w:rsidR="00175659" w:rsidRPr="00A117ED">
        <w:t xml:space="preserve"> </w:t>
      </w:r>
      <w:r>
        <w:t>is referred to as a</w:t>
      </w:r>
      <w:r w:rsidRPr="000F4801">
        <w:t xml:space="preserve"> </w:t>
      </w:r>
      <w:r w:rsidRPr="000F4801">
        <w:rPr>
          <w:b/>
        </w:rPr>
        <w:t>Summary Care Record</w:t>
      </w:r>
      <w:r w:rsidRPr="000F4801">
        <w:t xml:space="preserve"> </w:t>
      </w:r>
      <w:r>
        <w:t>-</w:t>
      </w:r>
      <w:r w:rsidRPr="000F4801">
        <w:t xml:space="preserve"> an example of a database that processes your data for primary medical uses only, that is for the provision of direct medical care by healthcare professionals.</w:t>
      </w:r>
      <w:r>
        <w:t xml:space="preserve"> Your records </w:t>
      </w:r>
      <w:r w:rsidR="00175659" w:rsidRPr="00A117ED">
        <w:t>will include important information about your health, including medical history, medications, current prescriptions, allergies, laboratory test results, radiology images, immunisation status and more.  It will also include the required personal information we need for our records, including name, date of birth, address, contact phone number an</w:t>
      </w:r>
      <w:r w:rsidR="00966625">
        <w:t>d next of kin contact details.</w:t>
      </w:r>
    </w:p>
    <w:p w14:paraId="6AA3D3AE" w14:textId="77777777" w:rsidR="00175659" w:rsidRDefault="00175659" w:rsidP="00175659">
      <w:pPr>
        <w:pStyle w:val="Heading2"/>
      </w:pPr>
      <w:r>
        <w:t xml:space="preserve">Who can see my </w:t>
      </w:r>
      <w:r w:rsidR="00EA1F5B" w:rsidRPr="00EA1F5B">
        <w:rPr>
          <w:b/>
        </w:rPr>
        <w:t xml:space="preserve">NHS </w:t>
      </w:r>
      <w:r w:rsidR="000F4801" w:rsidRPr="00EA1F5B">
        <w:rPr>
          <w:b/>
        </w:rPr>
        <w:t>Summary Care</w:t>
      </w:r>
      <w:r w:rsidR="000F4801">
        <w:t xml:space="preserve"> Record</w:t>
      </w:r>
      <w:r>
        <w:t>?</w:t>
      </w:r>
    </w:p>
    <w:p w14:paraId="29FCA5F6" w14:textId="77777777" w:rsidR="00175659" w:rsidRDefault="00175659" w:rsidP="00175659">
      <w:r>
        <w:t>Here at the practice we have tight controls in place to ensure that only those directly involved in your care will be allowed access to your Electronic Patient Record</w:t>
      </w:r>
      <w:r w:rsidR="00966625" w:rsidRPr="00966625">
        <w:t xml:space="preserve"> </w:t>
      </w:r>
      <w:r w:rsidR="00966625">
        <w:t>and they will only have access to the relevant parts of your Electronic Patient Record that they need in order to do their job.</w:t>
      </w:r>
      <w:r w:rsidR="003F4ACB">
        <w:t xml:space="preserve"> </w:t>
      </w:r>
      <w:r>
        <w:t xml:space="preserve">Therefore, anyone </w:t>
      </w:r>
      <w:r w:rsidR="00966625">
        <w:t>who has access to your records:</w:t>
      </w:r>
    </w:p>
    <w:p w14:paraId="5C77897C" w14:textId="77777777" w:rsidR="00175659" w:rsidRDefault="00175659" w:rsidP="00175659">
      <w:pPr>
        <w:pStyle w:val="ListParagraph"/>
        <w:numPr>
          <w:ilvl w:val="0"/>
          <w:numId w:val="35"/>
        </w:numPr>
      </w:pPr>
      <w:r>
        <w:t>Must be directly involved in your car</w:t>
      </w:r>
      <w:r w:rsidR="00E6631B">
        <w:t>e and treatment at the practice</w:t>
      </w:r>
    </w:p>
    <w:p w14:paraId="70E23FF2" w14:textId="77777777" w:rsidR="00175659" w:rsidRDefault="00175659" w:rsidP="00175659">
      <w:pPr>
        <w:pStyle w:val="ListParagraph"/>
        <w:numPr>
          <w:ilvl w:val="0"/>
          <w:numId w:val="35"/>
        </w:numPr>
      </w:pPr>
      <w:r>
        <w:t>Will have been assigned a secure access method</w:t>
      </w:r>
      <w:r w:rsidR="00E6631B">
        <w:t xml:space="preserve"> which uniquely identifies them</w:t>
      </w:r>
    </w:p>
    <w:p w14:paraId="32BC2851" w14:textId="77777777" w:rsidR="00175659" w:rsidRDefault="00175659" w:rsidP="00175659">
      <w:pPr>
        <w:pStyle w:val="ListParagraph"/>
        <w:numPr>
          <w:ilvl w:val="0"/>
          <w:numId w:val="35"/>
        </w:numPr>
      </w:pPr>
      <w:r>
        <w:t>Will only see the inform</w:t>
      </w:r>
      <w:r w:rsidR="00E6631B">
        <w:t>ation they need to do their job</w:t>
      </w:r>
    </w:p>
    <w:p w14:paraId="77637993" w14:textId="77777777" w:rsidR="00175659" w:rsidRDefault="00175659" w:rsidP="00175659">
      <w:pPr>
        <w:pStyle w:val="ListParagraph"/>
        <w:numPr>
          <w:ilvl w:val="0"/>
          <w:numId w:val="35"/>
        </w:numPr>
      </w:pPr>
      <w:r>
        <w:t>Will have their details recorded for every action that is taken on the system</w:t>
      </w:r>
    </w:p>
    <w:p w14:paraId="3E3BE78D" w14:textId="77777777" w:rsidR="005350E4" w:rsidRDefault="00FC686D" w:rsidP="001C6E22">
      <w:pPr>
        <w:pStyle w:val="Heading1"/>
      </w:pPr>
      <w:bookmarkStart w:id="4" w:name="_Toc514945664"/>
      <w:r>
        <w:lastRenderedPageBreak/>
        <w:t xml:space="preserve">How long do </w:t>
      </w:r>
      <w:r w:rsidR="00E6631B">
        <w:t>you</w:t>
      </w:r>
      <w:r>
        <w:t xml:space="preserve"> keep medical records for?</w:t>
      </w:r>
      <w:bookmarkEnd w:id="4"/>
    </w:p>
    <w:p w14:paraId="1B2EDC79" w14:textId="77777777" w:rsidR="001C6E22" w:rsidRDefault="007E2156" w:rsidP="005350E4">
      <w:r>
        <w:rPr>
          <w:noProof/>
          <w:lang w:val="en-GB" w:eastAsia="en-GB"/>
        </w:rPr>
        <w:drawing>
          <wp:inline distT="0" distB="0" distL="0" distR="0" wp14:anchorId="3DC45126" wp14:editId="2F69E431">
            <wp:extent cx="5618661" cy="2466975"/>
            <wp:effectExtent l="0" t="0" r="127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How-long-records-kept.jpg"/>
                    <pic:cNvPicPr/>
                  </pic:nvPicPr>
                  <pic:blipFill>
                    <a:blip r:embed="rId18">
                      <a:extLst>
                        <a:ext uri="{28A0092B-C50C-407E-A947-70E740481C1C}">
                          <a14:useLocalDpi xmlns:a14="http://schemas.microsoft.com/office/drawing/2010/main" val="0"/>
                        </a:ext>
                      </a:extLst>
                    </a:blip>
                    <a:stretch>
                      <a:fillRect/>
                    </a:stretch>
                  </pic:blipFill>
                  <pic:spPr>
                    <a:xfrm>
                      <a:off x="0" y="0"/>
                      <a:ext cx="5622321" cy="2468582"/>
                    </a:xfrm>
                    <a:prstGeom prst="rect">
                      <a:avLst/>
                    </a:prstGeom>
                  </pic:spPr>
                </pic:pic>
              </a:graphicData>
            </a:graphic>
          </wp:inline>
        </w:drawing>
      </w:r>
    </w:p>
    <w:p w14:paraId="6FCCD609" w14:textId="77777777" w:rsidR="00780B77" w:rsidRDefault="00780B77" w:rsidP="001C6E22">
      <w:pPr>
        <w:pStyle w:val="TableHeading"/>
      </w:pPr>
      <w:r>
        <w:t xml:space="preserve">NHS England </w:t>
      </w:r>
      <w:r w:rsidR="00C661CC">
        <w:t>requires</w:t>
      </w:r>
      <w:r>
        <w:t xml:space="preserve"> that GP records should be retained until 10 years after the patient's death or after the patient has permanently left the country, unless th</w:t>
      </w:r>
      <w:r w:rsidR="00C661CC">
        <w:t>ey remain in the European Union</w:t>
      </w:r>
      <w:r w:rsidR="00605AB3">
        <w:t>.</w:t>
      </w:r>
      <w:r w:rsidR="00605AB3" w:rsidRPr="00605AB3">
        <w:t xml:space="preserve"> </w:t>
      </w:r>
      <w:r w:rsidR="00605AB3">
        <w:t xml:space="preserve">Unless the GP is notified otherwise </w:t>
      </w:r>
      <w:r w:rsidR="00605AB3" w:rsidRPr="00605AB3">
        <w:t>the record must be retained for 100 years</w:t>
      </w:r>
      <w:r w:rsidR="00605AB3">
        <w:t>.</w:t>
      </w:r>
    </w:p>
    <w:p w14:paraId="203C0D6F" w14:textId="77777777" w:rsidR="00C661CC" w:rsidRDefault="00C661CC" w:rsidP="00C661CC">
      <w:pPr>
        <w:pStyle w:val="Heading2"/>
      </w:pPr>
      <w:r>
        <w:t>Children and young people</w:t>
      </w:r>
      <w:r w:rsidR="00FC686D">
        <w:t xml:space="preserve"> Records</w:t>
      </w:r>
    </w:p>
    <w:p w14:paraId="3ADC2009" w14:textId="77777777" w:rsidR="00C661CC" w:rsidRDefault="00C661CC" w:rsidP="00C661CC">
      <w:r>
        <w:t>NHS England requires that all types of records for children and young people should be retained until the patient is 25 (or 26 if they are 17 when treatment ends) or eight years after their death, if sooner.</w:t>
      </w:r>
    </w:p>
    <w:p w14:paraId="29C5C267" w14:textId="77777777" w:rsidR="00C661CC" w:rsidRDefault="00C661CC" w:rsidP="00C661CC">
      <w:r>
        <w:t>If a child's illness or death could be relevant to an adult condition or have genetic implications for their family, records may be kept for longer.</w:t>
      </w:r>
    </w:p>
    <w:p w14:paraId="22BFA7AF" w14:textId="77777777" w:rsidR="00C661CC" w:rsidRDefault="00C661CC" w:rsidP="00C661CC">
      <w:pPr>
        <w:pStyle w:val="Heading2"/>
      </w:pPr>
      <w:r>
        <w:t>Maternity records (including obstetric and midwifery records)</w:t>
      </w:r>
    </w:p>
    <w:p w14:paraId="2D90BC3E" w14:textId="77777777" w:rsidR="00C661CC" w:rsidRDefault="00C661CC" w:rsidP="00C661CC">
      <w:r>
        <w:t>NHS England requires that maternity records must be retained for 25 years after the birth of the last child.</w:t>
      </w:r>
    </w:p>
    <w:p w14:paraId="24925DEF" w14:textId="77777777" w:rsidR="00C661CC" w:rsidRDefault="00C661CC" w:rsidP="00C661CC">
      <w:pPr>
        <w:pStyle w:val="Heading2"/>
      </w:pPr>
      <w:r>
        <w:t>Mental health records</w:t>
      </w:r>
    </w:p>
    <w:p w14:paraId="1E2A5146" w14:textId="77777777" w:rsidR="00EA1F5B" w:rsidRPr="006658D0" w:rsidRDefault="00C661CC" w:rsidP="003F4ACB">
      <w:r w:rsidRPr="006658D0">
        <w:t xml:space="preserve">NHS England requires that records of people who have been treated for a mental disorder should be retained for 20 years after the date of last contact between the patient and any healthcare professional employed by the mental health provider, or </w:t>
      </w:r>
      <w:r w:rsidR="00605AB3" w:rsidRPr="006658D0">
        <w:t>8</w:t>
      </w:r>
      <w:r w:rsidRPr="006658D0">
        <w:t xml:space="preserve"> years after the death of the patient if sooner.</w:t>
      </w:r>
    </w:p>
    <w:p w14:paraId="587CADCA" w14:textId="77777777" w:rsidR="008B6140" w:rsidRDefault="008B6140">
      <w:pPr>
        <w:rPr>
          <w:rFonts w:asciiTheme="majorHAnsi" w:eastAsiaTheme="majorEastAsia" w:hAnsiTheme="majorHAnsi" w:cstheme="majorBidi"/>
          <w:caps/>
          <w:color w:val="577188" w:themeColor="accent1" w:themeShade="BF"/>
          <w:sz w:val="24"/>
        </w:rPr>
      </w:pPr>
    </w:p>
    <w:p w14:paraId="42240389" w14:textId="77777777" w:rsidR="00FC47D4" w:rsidRDefault="00FC47D4" w:rsidP="00FC47D4">
      <w:pPr>
        <w:pStyle w:val="Heading1"/>
      </w:pPr>
      <w:bookmarkStart w:id="5" w:name="_Toc514945665"/>
      <w:r w:rsidRPr="00920E2F">
        <w:lastRenderedPageBreak/>
        <w:t>Our Privacy Promise</w:t>
      </w:r>
      <w:bookmarkEnd w:id="5"/>
    </w:p>
    <w:p w14:paraId="7AA880D9" w14:textId="77777777" w:rsidR="00FC47D4" w:rsidRDefault="007E2156" w:rsidP="00FC47D4">
      <w:r>
        <w:rPr>
          <w:noProof/>
          <w:lang w:val="en-GB" w:eastAsia="en-GB"/>
        </w:rPr>
        <w:drawing>
          <wp:inline distT="0" distB="0" distL="0" distR="0" wp14:anchorId="0C63E6EC" wp14:editId="6F9EAB45">
            <wp:extent cx="5702877" cy="21145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Our-Privacy-Promise.jpg"/>
                    <pic:cNvPicPr/>
                  </pic:nvPicPr>
                  <pic:blipFill rotWithShape="1">
                    <a:blip r:embed="rId19">
                      <a:extLst>
                        <a:ext uri="{28A0092B-C50C-407E-A947-70E740481C1C}">
                          <a14:useLocalDpi xmlns:a14="http://schemas.microsoft.com/office/drawing/2010/main" val="0"/>
                        </a:ext>
                      </a:extLst>
                    </a:blip>
                    <a:srcRect l="4898" t="35741" r="4930" b="8537"/>
                    <a:stretch/>
                  </pic:blipFill>
                  <pic:spPr bwMode="auto">
                    <a:xfrm>
                      <a:off x="0" y="0"/>
                      <a:ext cx="5708283" cy="2116554"/>
                    </a:xfrm>
                    <a:prstGeom prst="rect">
                      <a:avLst/>
                    </a:prstGeom>
                    <a:ln>
                      <a:noFill/>
                    </a:ln>
                    <a:extLst>
                      <a:ext uri="{53640926-AAD7-44D8-BBD7-CCE9431645EC}">
                        <a14:shadowObscured xmlns:a14="http://schemas.microsoft.com/office/drawing/2010/main"/>
                      </a:ext>
                    </a:extLst>
                  </pic:spPr>
                </pic:pic>
              </a:graphicData>
            </a:graphic>
          </wp:inline>
        </w:drawing>
      </w:r>
    </w:p>
    <w:p w14:paraId="2D63FC1F" w14:textId="77777777" w:rsidR="00E36BE8" w:rsidRDefault="00E36BE8" w:rsidP="00E36BE8">
      <w:pPr>
        <w:pStyle w:val="TableHeading"/>
      </w:pPr>
      <w:r>
        <w:t>Every member of staff who works for an NHS organisation has a legal obligation to keep information about you confidential.</w:t>
      </w:r>
    </w:p>
    <w:p w14:paraId="6FCBEB54" w14:textId="77777777" w:rsidR="00A44C16" w:rsidRDefault="00A44C16" w:rsidP="00FC47D4">
      <w:pPr>
        <w:pStyle w:val="Heading2"/>
      </w:pPr>
      <w:r>
        <w:t>We promise:</w:t>
      </w:r>
    </w:p>
    <w:p w14:paraId="7D0FECF3" w14:textId="77777777" w:rsidR="00A44C16" w:rsidRDefault="00A44C16" w:rsidP="00A44C16">
      <w:pPr>
        <w:pStyle w:val="ListBullet"/>
      </w:pPr>
      <w:r>
        <w:t>To keep your</w:t>
      </w:r>
      <w:r w:rsidR="00F607F0">
        <w:t xml:space="preserve"> personal data safe and private.</w:t>
      </w:r>
    </w:p>
    <w:p w14:paraId="670214CB" w14:textId="77777777" w:rsidR="00F607F0" w:rsidRDefault="00F607F0" w:rsidP="00F607F0">
      <w:pPr>
        <w:pStyle w:val="ListBullet"/>
      </w:pPr>
      <w:r>
        <w:t>To give you ways to manage and review how we process and control your data.</w:t>
      </w:r>
    </w:p>
    <w:p w14:paraId="55E4ACF3" w14:textId="77777777" w:rsidR="00A44C16" w:rsidRDefault="00A44C16" w:rsidP="00A44C16">
      <w:pPr>
        <w:pStyle w:val="ListBullet"/>
      </w:pPr>
      <w:r>
        <w:t>Not to sell your personal data.</w:t>
      </w:r>
    </w:p>
    <w:p w14:paraId="40CBD41F" w14:textId="77777777" w:rsidR="00900933" w:rsidRDefault="00900933" w:rsidP="00900933">
      <w:pPr>
        <w:pStyle w:val="ListBullet"/>
      </w:pPr>
      <w:r>
        <w:t>To handle personal data only in ways that patients would reasonably expect.</w:t>
      </w:r>
    </w:p>
    <w:p w14:paraId="66958E0A" w14:textId="77777777" w:rsidR="00900933" w:rsidRDefault="00900933" w:rsidP="00900933">
      <w:pPr>
        <w:pStyle w:val="ListBullet"/>
      </w:pPr>
      <w:r>
        <w:t>Have a basis in law for collecting and using your data and to n</w:t>
      </w:r>
      <w:r w:rsidRPr="004B5809">
        <w:t xml:space="preserve">ot do anything unlawful with </w:t>
      </w:r>
      <w:r>
        <w:t>it</w:t>
      </w:r>
      <w:r w:rsidRPr="004B5809">
        <w:t>.</w:t>
      </w:r>
    </w:p>
    <w:p w14:paraId="1276FB3D" w14:textId="77777777" w:rsidR="00900933" w:rsidRDefault="00900933" w:rsidP="00900933">
      <w:pPr>
        <w:pStyle w:val="ListBullet"/>
      </w:pPr>
      <w:r>
        <w:t>Not use your data in ways that are unfair (e.g. in ways you have not been told about and would not expect; where you have a choice but have not had an opportunity or been told how to exercise it; or where the use has an unjustified adverse effect).</w:t>
      </w:r>
    </w:p>
    <w:p w14:paraId="79911252" w14:textId="77777777" w:rsidR="00A44C16" w:rsidRDefault="00A44C16" w:rsidP="00A44C16">
      <w:pPr>
        <w:pStyle w:val="ListBullet"/>
      </w:pPr>
      <w:r>
        <w:t>To be open and transparent about how we intend to use your dat</w:t>
      </w:r>
      <w:r w:rsidR="00A11A91">
        <w:t>a and who we will share it with.</w:t>
      </w:r>
    </w:p>
    <w:p w14:paraId="4D78D8B6" w14:textId="77777777" w:rsidR="00A11A91" w:rsidRDefault="00A11A91" w:rsidP="00A44C16">
      <w:pPr>
        <w:pStyle w:val="ListBullet"/>
      </w:pPr>
      <w:r w:rsidRPr="000508F9">
        <w:t>We will only ever use or pass on information about you if others involved in your care have a genuine need for it.</w:t>
      </w:r>
    </w:p>
    <w:p w14:paraId="301EA0F3" w14:textId="77777777" w:rsidR="00175659" w:rsidRDefault="00A11A91" w:rsidP="00A44C16">
      <w:pPr>
        <w:pStyle w:val="ListBullet"/>
      </w:pPr>
      <w:r w:rsidRPr="000508F9">
        <w:t xml:space="preserve">We will not disclose your information to </w:t>
      </w:r>
      <w:r w:rsidR="00175659">
        <w:t>any</w:t>
      </w:r>
      <w:r w:rsidRPr="000508F9">
        <w:t xml:space="preserve"> third party without your permission unless </w:t>
      </w:r>
      <w:r w:rsidR="00175659">
        <w:t>in</w:t>
      </w:r>
      <w:r>
        <w:t xml:space="preserve"> exceptional circumstances (e.g.</w:t>
      </w:r>
      <w:r w:rsidRPr="000508F9">
        <w:t xml:space="preserve"> life or death situations</w:t>
      </w:r>
      <w:r>
        <w:t xml:space="preserve">) or </w:t>
      </w:r>
      <w:r w:rsidR="00175659">
        <w:t>if</w:t>
      </w:r>
      <w:r w:rsidRPr="000508F9">
        <w:t xml:space="preserve"> the law requires </w:t>
      </w:r>
      <w:r w:rsidR="00175659">
        <w:t>it</w:t>
      </w:r>
      <w:r w:rsidRPr="000508F9">
        <w:t xml:space="preserve"> to be passed on</w:t>
      </w:r>
      <w:r>
        <w:t>.</w:t>
      </w:r>
    </w:p>
    <w:p w14:paraId="22115429" w14:textId="77777777" w:rsidR="000508F9" w:rsidRDefault="000508F9" w:rsidP="000508F9">
      <w:pPr>
        <w:pStyle w:val="ListBullet"/>
        <w:numPr>
          <w:ilvl w:val="0"/>
          <w:numId w:val="0"/>
        </w:numPr>
      </w:pPr>
    </w:p>
    <w:p w14:paraId="0DD6601F" w14:textId="77777777" w:rsidR="0048304D" w:rsidRPr="00AA576B" w:rsidRDefault="00A11A91" w:rsidP="00307DA1">
      <w:pPr>
        <w:rPr>
          <w:rFonts w:asciiTheme="majorHAnsi" w:eastAsiaTheme="majorEastAsia" w:hAnsiTheme="majorHAnsi" w:cstheme="majorBidi"/>
          <w:caps/>
          <w:color w:val="577188" w:themeColor="accent1" w:themeShade="BF"/>
          <w:sz w:val="24"/>
        </w:rPr>
      </w:pPr>
      <w:r>
        <w:t>We also operate in</w:t>
      </w:r>
      <w:r w:rsidR="000508F9" w:rsidRPr="000508F9">
        <w:t xml:space="preserve"> accordance with </w:t>
      </w:r>
      <w:r>
        <w:t>an</w:t>
      </w:r>
      <w:r w:rsidR="000508F9" w:rsidRPr="000508F9">
        <w:t xml:space="preserve"> information sharing principle following Dame Fiona Caldicot</w:t>
      </w:r>
      <w:r w:rsidR="00900933">
        <w:t>t’s (</w:t>
      </w:r>
      <w:r w:rsidR="00900933" w:rsidRPr="00900933">
        <w:t>The</w:t>
      </w:r>
      <w:r w:rsidR="00900933">
        <w:t xml:space="preserve"> UK Government’s appointed</w:t>
      </w:r>
      <w:r w:rsidR="00900933" w:rsidRPr="00900933">
        <w:t xml:space="preserve"> National Data Guardian for health and social care</w:t>
      </w:r>
      <w:r w:rsidR="00900933">
        <w:t xml:space="preserve">) information sharing review; </w:t>
      </w:r>
      <w:r w:rsidR="000508F9" w:rsidRPr="00A11A91">
        <w:rPr>
          <w:i/>
        </w:rPr>
        <w:t>Inform</w:t>
      </w:r>
      <w:r w:rsidRPr="00A11A91">
        <w:rPr>
          <w:i/>
        </w:rPr>
        <w:t>ation to share or not to share</w:t>
      </w:r>
      <w:r w:rsidR="00900933">
        <w:t xml:space="preserve"> </w:t>
      </w:r>
      <w:r>
        <w:t xml:space="preserve">- </w:t>
      </w:r>
      <w:r w:rsidR="000508F9" w:rsidRPr="000508F9">
        <w:t xml:space="preserve">“The duty to share information can be as important as the duty to protect patient confidentiality.” This means that health and social care professionals should have the confidence to share information in the best interests of their patients within the framework set out by the Caldicott principles. They </w:t>
      </w:r>
      <w:r>
        <w:t>are</w:t>
      </w:r>
      <w:r w:rsidR="000508F9" w:rsidRPr="000508F9">
        <w:t xml:space="preserve"> supported by the policies of their employers, regulators and professional bodies.</w:t>
      </w:r>
    </w:p>
    <w:p w14:paraId="743233B7" w14:textId="77777777" w:rsidR="00805D6D" w:rsidRDefault="009E24F9">
      <w:pPr>
        <w:pStyle w:val="Heading1"/>
      </w:pPr>
      <w:bookmarkStart w:id="6" w:name="_Toc514945666"/>
      <w:r>
        <w:lastRenderedPageBreak/>
        <w:t>How the law protects you</w:t>
      </w:r>
      <w:r w:rsidR="00000DF8">
        <w:t>r confidentiality</w:t>
      </w:r>
      <w:bookmarkEnd w:id="6"/>
    </w:p>
    <w:p w14:paraId="44F6E4FF" w14:textId="77777777" w:rsidR="000508F9" w:rsidRDefault="000508F9" w:rsidP="000508F9">
      <w:r>
        <w:t xml:space="preserve">We are committed to protecting your privacy and will only use information collected lawfully in accordance with: </w:t>
      </w:r>
    </w:p>
    <w:p w14:paraId="4EBBEBAB" w14:textId="77777777" w:rsidR="000508F9" w:rsidRDefault="000508F9" w:rsidP="000508F9">
      <w:pPr>
        <w:pStyle w:val="ListParagraph"/>
        <w:numPr>
          <w:ilvl w:val="0"/>
          <w:numId w:val="29"/>
        </w:numPr>
      </w:pPr>
      <w:r>
        <w:t>Data Protection Act 2018</w:t>
      </w:r>
      <w:r w:rsidR="00900933">
        <w:t xml:space="preserve"> (based on the EU’s GDRP – General Data Protection Regulations)</w:t>
      </w:r>
    </w:p>
    <w:p w14:paraId="1A4CE194" w14:textId="77777777" w:rsidR="000508F9" w:rsidRDefault="000508F9" w:rsidP="000508F9">
      <w:pPr>
        <w:pStyle w:val="ListParagraph"/>
        <w:numPr>
          <w:ilvl w:val="0"/>
          <w:numId w:val="29"/>
        </w:numPr>
      </w:pPr>
      <w:r>
        <w:t>Human Rights Act 1998</w:t>
      </w:r>
    </w:p>
    <w:p w14:paraId="1276B82B" w14:textId="77777777" w:rsidR="000508F9" w:rsidRDefault="000508F9" w:rsidP="000508F9">
      <w:pPr>
        <w:pStyle w:val="ListParagraph"/>
        <w:numPr>
          <w:ilvl w:val="0"/>
          <w:numId w:val="29"/>
        </w:numPr>
      </w:pPr>
      <w:r>
        <w:t>Common Law Duty of Confidentiality</w:t>
      </w:r>
    </w:p>
    <w:p w14:paraId="6F841572" w14:textId="77777777" w:rsidR="000508F9" w:rsidRDefault="000508F9" w:rsidP="000508F9">
      <w:pPr>
        <w:pStyle w:val="ListParagraph"/>
        <w:numPr>
          <w:ilvl w:val="0"/>
          <w:numId w:val="29"/>
        </w:numPr>
      </w:pPr>
      <w:r>
        <w:t>Health and Social Care Act 2012</w:t>
      </w:r>
    </w:p>
    <w:p w14:paraId="3937AFB9" w14:textId="77777777" w:rsidR="000508F9" w:rsidRDefault="000508F9" w:rsidP="000508F9">
      <w:pPr>
        <w:pStyle w:val="ListParagraph"/>
        <w:numPr>
          <w:ilvl w:val="0"/>
          <w:numId w:val="29"/>
        </w:numPr>
      </w:pPr>
      <w:r>
        <w:t>NHS Codes of Confidentiality, Information Security and Records Management</w:t>
      </w:r>
    </w:p>
    <w:p w14:paraId="285D290C" w14:textId="77777777" w:rsidR="000508F9" w:rsidRDefault="000508F9" w:rsidP="000508F9">
      <w:pPr>
        <w:pStyle w:val="ListParagraph"/>
        <w:numPr>
          <w:ilvl w:val="0"/>
          <w:numId w:val="29"/>
        </w:numPr>
      </w:pPr>
      <w:r>
        <w:t>Information: To Share or Not to Share Review</w:t>
      </w:r>
    </w:p>
    <w:p w14:paraId="18FC66DC" w14:textId="77777777" w:rsidR="00EA1F5B" w:rsidRDefault="006658D0" w:rsidP="00616ECC">
      <w:pPr>
        <w:pStyle w:val="ListParagraph"/>
        <w:numPr>
          <w:ilvl w:val="0"/>
          <w:numId w:val="29"/>
        </w:numPr>
      </w:pPr>
      <w:r w:rsidRPr="006658D0">
        <w:t>Gender Recognition</w:t>
      </w:r>
      <w:r>
        <w:t xml:space="preserve"> Act</w:t>
      </w:r>
      <w:r w:rsidR="00EA1F5B">
        <w:t xml:space="preserve"> 2004</w:t>
      </w:r>
    </w:p>
    <w:p w14:paraId="2602D3ED" w14:textId="77777777" w:rsidR="006658D0" w:rsidRPr="006658D0" w:rsidRDefault="006658D0" w:rsidP="00616ECC">
      <w:pPr>
        <w:pStyle w:val="ListParagraph"/>
        <w:numPr>
          <w:ilvl w:val="0"/>
          <w:numId w:val="29"/>
        </w:numPr>
      </w:pPr>
      <w:r w:rsidRPr="006658D0">
        <w:t>Freedom of Information</w:t>
      </w:r>
      <w:r>
        <w:t xml:space="preserve"> Act</w:t>
      </w:r>
      <w:r w:rsidR="00EA1F5B">
        <w:t xml:space="preserve"> 2000</w:t>
      </w:r>
    </w:p>
    <w:p w14:paraId="5588E1F2" w14:textId="77777777" w:rsidR="00AA576B" w:rsidRDefault="00AA576B" w:rsidP="00AA576B">
      <w:pPr>
        <w:pStyle w:val="Heading2"/>
      </w:pPr>
      <w:r>
        <w:t xml:space="preserve">Our legal obligations to protect your </w:t>
      </w:r>
      <w:r w:rsidR="009A57A5">
        <w:t xml:space="preserve">personal </w:t>
      </w:r>
      <w:r>
        <w:t>data</w:t>
      </w:r>
    </w:p>
    <w:p w14:paraId="7F50D940" w14:textId="77777777" w:rsidR="00514F94" w:rsidRDefault="00514F94" w:rsidP="00514F94">
      <w:r>
        <w:t xml:space="preserve">This General Practice is registered </w:t>
      </w:r>
      <w:r w:rsidRPr="00254A6D">
        <w:t xml:space="preserve">with the </w:t>
      </w:r>
      <w:r>
        <w:t xml:space="preserve">UK’s </w:t>
      </w:r>
      <w:r w:rsidRPr="00254A6D">
        <w:t xml:space="preserve">Information Commissioners Office </w:t>
      </w:r>
      <w:r>
        <w:t xml:space="preserve">(ICO) </w:t>
      </w:r>
      <w:r w:rsidRPr="00254A6D">
        <w:t>and complies wi</w:t>
      </w:r>
      <w:r>
        <w:t>th the Data Protection Act 1998 and its replacement the Data Protection Act 2018. The law is being updated to reflect a European-wide legal framework that applies from</w:t>
      </w:r>
      <w:r w:rsidRPr="009E24F9">
        <w:t xml:space="preserve"> </w:t>
      </w:r>
      <w:r>
        <w:t>25 May 2018 onwards and is designed to help improve the protection of personal data of individuals – such as our patients and staff.</w:t>
      </w:r>
    </w:p>
    <w:p w14:paraId="5BAB725F" w14:textId="77777777" w:rsidR="00AA576B" w:rsidRDefault="00AA576B" w:rsidP="00AA576B">
      <w:r w:rsidRPr="00EC667E">
        <w:t xml:space="preserve">This includes protection against unauthorised or unlawful processing </w:t>
      </w:r>
      <w:r w:rsidR="00514F94">
        <w:t xml:space="preserve">of personal data </w:t>
      </w:r>
      <w:r w:rsidRPr="00EC667E">
        <w:t>and against accidental loss, destruction or damage</w:t>
      </w:r>
      <w:r w:rsidR="00514F94">
        <w:t xml:space="preserve"> of your data</w:t>
      </w:r>
      <w:r w:rsidRPr="00EC667E">
        <w:t>. It requires that appropriate technical or organ</w:t>
      </w:r>
      <w:r>
        <w:t>isational measures are used – so we have policies, procedures and staff training in place to keep your personal data private.</w:t>
      </w:r>
    </w:p>
    <w:p w14:paraId="5B4F85BF" w14:textId="77777777" w:rsidR="00AA576B" w:rsidRDefault="00AA576B" w:rsidP="00AA576B">
      <w:r>
        <w:t>UK and European law demands</w:t>
      </w:r>
      <w:r w:rsidRPr="009C7267">
        <w:t xml:space="preserve"> that in order for </w:t>
      </w:r>
      <w:r>
        <w:t>our</w:t>
      </w:r>
      <w:r w:rsidRPr="009C7267">
        <w:t xml:space="preserve"> processing to be fair, the </w:t>
      </w:r>
      <w:r>
        <w:t>‘</w:t>
      </w:r>
      <w:r w:rsidRPr="009C7267">
        <w:t>data controller</w:t>
      </w:r>
      <w:r>
        <w:t>’</w:t>
      </w:r>
      <w:r w:rsidRPr="009C7267">
        <w:t xml:space="preserve"> (</w:t>
      </w:r>
      <w:r>
        <w:t>our General Practice</w:t>
      </w:r>
      <w:r w:rsidRPr="009C7267">
        <w:t xml:space="preserve"> </w:t>
      </w:r>
      <w:r>
        <w:t xml:space="preserve">who is </w:t>
      </w:r>
      <w:r w:rsidRPr="009C7267">
        <w:t xml:space="preserve">in control of processing </w:t>
      </w:r>
      <w:r>
        <w:t>medical</w:t>
      </w:r>
      <w:r w:rsidRPr="009C7267">
        <w:t xml:space="preserve"> </w:t>
      </w:r>
      <w:r>
        <w:t>records</w:t>
      </w:r>
      <w:r w:rsidRPr="009C7267">
        <w:t xml:space="preserve">) has to make certain information available to </w:t>
      </w:r>
      <w:r>
        <w:t>patients</w:t>
      </w:r>
      <w:r w:rsidRPr="009C7267">
        <w:t xml:space="preserve"> </w:t>
      </w:r>
      <w:r>
        <w:t>or ‘data subjects’</w:t>
      </w:r>
      <w:r w:rsidR="00514F94">
        <w:t xml:space="preserve"> by allowing you to make a Subject Access Request - contact details are included at the end of this Practice Privacy Notice should </w:t>
      </w:r>
      <w:r w:rsidR="006658D0">
        <w:t xml:space="preserve">you wish </w:t>
      </w:r>
      <w:r w:rsidR="00514F94">
        <w:t>to make a request.</w:t>
      </w:r>
    </w:p>
    <w:p w14:paraId="14CAC50F" w14:textId="77777777" w:rsidR="00AA576B" w:rsidRDefault="00AA576B" w:rsidP="00AA576B">
      <w:pPr>
        <w:pStyle w:val="Heading2"/>
      </w:pPr>
      <w:r>
        <w:t>Our duty of confidentiality</w:t>
      </w:r>
    </w:p>
    <w:p w14:paraId="41F68DAA" w14:textId="77777777" w:rsidR="00805D6D" w:rsidRDefault="00AA576B" w:rsidP="00AA576B">
      <w:r>
        <w:t xml:space="preserve">Under common law our General Practice has a legal duty of confidentiality to safeguard the confidential health data of our patients. Because we control patient healthcare records on paper and digitally we are classed as a responsible ‘public authority’ as well as a ‘data controller’ by the </w:t>
      </w:r>
      <w:r w:rsidRPr="00254A6D">
        <w:t xml:space="preserve">Information Commissioners Office </w:t>
      </w:r>
      <w:r>
        <w:t>(ICO) – this is because we decide how, why, what, when and for how long personal data of our patients are processed.</w:t>
      </w:r>
    </w:p>
    <w:p w14:paraId="2AA59BF5" w14:textId="77777777" w:rsidR="00ED19AD" w:rsidRDefault="00ED19AD" w:rsidP="00ED19AD">
      <w:pPr>
        <w:pStyle w:val="Heading2"/>
      </w:pPr>
      <w:r>
        <w:t>Implied consent</w:t>
      </w:r>
    </w:p>
    <w:p w14:paraId="2E5CE0BE" w14:textId="77777777" w:rsidR="00ED19AD" w:rsidRDefault="00ED19AD" w:rsidP="00ED19AD">
      <w:r w:rsidRPr="00951087">
        <w:t xml:space="preserve">Healthcare providers </w:t>
      </w:r>
      <w:r>
        <w:t xml:space="preserve">such as our General Practice </w:t>
      </w:r>
      <w:r w:rsidRPr="00951087">
        <w:t xml:space="preserve">generally operate on the basis of implied consent to use patient </w:t>
      </w:r>
      <w:r>
        <w:t>medical records for the purposes</w:t>
      </w:r>
      <w:r w:rsidRPr="00951087">
        <w:t xml:space="preserve"> of direct </w:t>
      </w:r>
      <w:r>
        <w:t xml:space="preserve">patient </w:t>
      </w:r>
      <w:r w:rsidRPr="00951087">
        <w:t>care, without breaching confidentiality.</w:t>
      </w:r>
    </w:p>
    <w:p w14:paraId="3C26B197" w14:textId="77777777" w:rsidR="00ED19AD" w:rsidRDefault="00ED19AD" w:rsidP="00AA576B">
      <w:r>
        <w:t>However - we</w:t>
      </w:r>
      <w:r w:rsidRPr="002C4B05">
        <w:t xml:space="preserve"> cannot rely on a patient’s implied consent to use their confidential personal data</w:t>
      </w:r>
      <w:r>
        <w:t xml:space="preserve"> for other non-direct patient care related activities </w:t>
      </w:r>
      <w:r w:rsidR="006658D0">
        <w:t>and therefore</w:t>
      </w:r>
      <w:r w:rsidRPr="002C4B05">
        <w:t xml:space="preserve"> </w:t>
      </w:r>
      <w:r>
        <w:t xml:space="preserve">we must </w:t>
      </w:r>
      <w:r w:rsidRPr="002C4B05">
        <w:t xml:space="preserve">justify </w:t>
      </w:r>
      <w:r>
        <w:t>any</w:t>
      </w:r>
      <w:r w:rsidRPr="002C4B05">
        <w:t xml:space="preserve"> processing under another lawful basis, such as explicit patient consent or legal gateway.</w:t>
      </w:r>
    </w:p>
    <w:p w14:paraId="3377BC28" w14:textId="646A94CB" w:rsidR="00931A56" w:rsidRDefault="00931A56" w:rsidP="00931A56">
      <w:pPr>
        <w:pStyle w:val="Heading1"/>
      </w:pPr>
      <w:bookmarkStart w:id="7" w:name="_Toc514945667"/>
      <w:r>
        <w:lastRenderedPageBreak/>
        <w:t xml:space="preserve">Who are our partner </w:t>
      </w:r>
      <w:r w:rsidR="00EA2C4D">
        <w:t>organisation's</w:t>
      </w:r>
      <w:r>
        <w:t>?</w:t>
      </w:r>
      <w:bookmarkEnd w:id="7"/>
    </w:p>
    <w:p w14:paraId="137A1D41" w14:textId="77777777" w:rsidR="00C32FC9" w:rsidRDefault="007E2156">
      <w:r>
        <w:rPr>
          <w:noProof/>
          <w:lang w:val="en-GB" w:eastAsia="en-GB"/>
        </w:rPr>
        <w:drawing>
          <wp:inline distT="0" distB="0" distL="0" distR="0" wp14:anchorId="351D7778" wp14:editId="467D04BE">
            <wp:extent cx="5640705" cy="26289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Who-are-are-partners.jpg"/>
                    <pic:cNvPicPr/>
                  </pic:nvPicPr>
                  <pic:blipFill rotWithShape="1">
                    <a:blip r:embed="rId20">
                      <a:extLst>
                        <a:ext uri="{28A0092B-C50C-407E-A947-70E740481C1C}">
                          <a14:useLocalDpi xmlns:a14="http://schemas.microsoft.com/office/drawing/2010/main" val="0"/>
                        </a:ext>
                      </a:extLst>
                    </a:blip>
                    <a:srcRect b="26648"/>
                    <a:stretch/>
                  </pic:blipFill>
                  <pic:spPr bwMode="auto">
                    <a:xfrm>
                      <a:off x="0" y="0"/>
                      <a:ext cx="5640705" cy="2628900"/>
                    </a:xfrm>
                    <a:prstGeom prst="rect">
                      <a:avLst/>
                    </a:prstGeom>
                    <a:ln>
                      <a:noFill/>
                    </a:ln>
                    <a:extLst>
                      <a:ext uri="{53640926-AAD7-44D8-BBD7-CCE9431645EC}">
                        <a14:shadowObscured xmlns:a14="http://schemas.microsoft.com/office/drawing/2010/main"/>
                      </a:ext>
                    </a:extLst>
                  </pic:spPr>
                </pic:pic>
              </a:graphicData>
            </a:graphic>
          </wp:inline>
        </w:drawing>
      </w:r>
    </w:p>
    <w:p w14:paraId="4EC10E78" w14:textId="0963C170" w:rsidR="00EC667E" w:rsidRDefault="00931A56">
      <w:r w:rsidRPr="00931A56">
        <w:t>We may have to share your information, subject to strict agreements on how it will be used, w</w:t>
      </w:r>
      <w:r>
        <w:t xml:space="preserve">ith the following </w:t>
      </w:r>
      <w:r w:rsidR="00EA2C4D">
        <w:t>organisation's</w:t>
      </w:r>
      <w:r>
        <w:t>:</w:t>
      </w:r>
    </w:p>
    <w:p w14:paraId="5F54F2D9" w14:textId="77777777" w:rsidR="00931A56" w:rsidRDefault="00931A56" w:rsidP="00CC5832">
      <w:pPr>
        <w:pStyle w:val="ListParagraph"/>
        <w:numPr>
          <w:ilvl w:val="0"/>
          <w:numId w:val="29"/>
        </w:numPr>
      </w:pPr>
      <w:r>
        <w:t>NHS Trusts / Foundation Trusts</w:t>
      </w:r>
    </w:p>
    <w:p w14:paraId="58F56631" w14:textId="77777777" w:rsidR="00931A56" w:rsidRDefault="00931A56" w:rsidP="00CC5832">
      <w:pPr>
        <w:pStyle w:val="ListParagraph"/>
        <w:numPr>
          <w:ilvl w:val="0"/>
          <w:numId w:val="29"/>
        </w:numPr>
      </w:pPr>
      <w:r>
        <w:t>GP’s</w:t>
      </w:r>
    </w:p>
    <w:p w14:paraId="595E4D33" w14:textId="77777777" w:rsidR="00931A56" w:rsidRDefault="00931A56" w:rsidP="00CC5832">
      <w:pPr>
        <w:pStyle w:val="ListParagraph"/>
        <w:numPr>
          <w:ilvl w:val="0"/>
          <w:numId w:val="29"/>
        </w:numPr>
      </w:pPr>
      <w:r>
        <w:t>NHS Commissioning Support Units</w:t>
      </w:r>
    </w:p>
    <w:p w14:paraId="11C490D8" w14:textId="77777777" w:rsidR="00931A56" w:rsidRDefault="00931A56" w:rsidP="00CC5832">
      <w:pPr>
        <w:pStyle w:val="ListParagraph"/>
        <w:numPr>
          <w:ilvl w:val="0"/>
          <w:numId w:val="29"/>
        </w:numPr>
      </w:pPr>
      <w:r w:rsidRPr="00931A56">
        <w:t>Independent Contractors such as d</w:t>
      </w:r>
      <w:r>
        <w:t>entists, opticians, pharmacists</w:t>
      </w:r>
    </w:p>
    <w:p w14:paraId="3CF576DA" w14:textId="77777777" w:rsidR="00931A56" w:rsidRDefault="00931A56" w:rsidP="00CC5832">
      <w:pPr>
        <w:pStyle w:val="ListParagraph"/>
        <w:numPr>
          <w:ilvl w:val="0"/>
          <w:numId w:val="29"/>
        </w:numPr>
      </w:pPr>
      <w:r>
        <w:t>Private Sector Providers</w:t>
      </w:r>
    </w:p>
    <w:p w14:paraId="2FDD4E81" w14:textId="77777777" w:rsidR="00931A56" w:rsidRDefault="00931A56" w:rsidP="00CC5832">
      <w:pPr>
        <w:pStyle w:val="ListParagraph"/>
        <w:numPr>
          <w:ilvl w:val="0"/>
          <w:numId w:val="29"/>
        </w:numPr>
      </w:pPr>
      <w:r>
        <w:t>Voluntary Sector Providers</w:t>
      </w:r>
    </w:p>
    <w:p w14:paraId="58198560" w14:textId="77777777" w:rsidR="00931A56" w:rsidRDefault="00931A56" w:rsidP="00CC5832">
      <w:pPr>
        <w:pStyle w:val="ListParagraph"/>
        <w:numPr>
          <w:ilvl w:val="0"/>
          <w:numId w:val="29"/>
        </w:numPr>
      </w:pPr>
      <w:r>
        <w:t>Ambulance Trusts</w:t>
      </w:r>
    </w:p>
    <w:p w14:paraId="661E9DE6" w14:textId="7C77DE28" w:rsidR="00931A56" w:rsidRDefault="00EE6FD5" w:rsidP="00CC5832">
      <w:pPr>
        <w:pStyle w:val="ListParagraph"/>
        <w:numPr>
          <w:ilvl w:val="0"/>
          <w:numId w:val="29"/>
        </w:numPr>
      </w:pPr>
      <w:r>
        <w:t>Integrated Care Boards</w:t>
      </w:r>
    </w:p>
    <w:p w14:paraId="3F9C5B38" w14:textId="77777777" w:rsidR="00931A56" w:rsidRDefault="00931A56" w:rsidP="00CC5832">
      <w:pPr>
        <w:pStyle w:val="ListParagraph"/>
        <w:numPr>
          <w:ilvl w:val="0"/>
          <w:numId w:val="29"/>
        </w:numPr>
      </w:pPr>
      <w:r w:rsidRPr="00931A56">
        <w:t>Social</w:t>
      </w:r>
      <w:r>
        <w:t xml:space="preserve"> Care Services</w:t>
      </w:r>
    </w:p>
    <w:p w14:paraId="6C6444F0" w14:textId="77777777" w:rsidR="00CC5832" w:rsidRDefault="00931A56" w:rsidP="00CC5832">
      <w:pPr>
        <w:pStyle w:val="ListParagraph"/>
        <w:numPr>
          <w:ilvl w:val="0"/>
          <w:numId w:val="29"/>
        </w:numPr>
      </w:pPr>
      <w:r w:rsidRPr="00931A56">
        <w:t xml:space="preserve">Health and Social </w:t>
      </w:r>
      <w:r w:rsidR="00CC5832">
        <w:t>Care Information Centre (HSCIC)</w:t>
      </w:r>
    </w:p>
    <w:p w14:paraId="5DB5A3F8" w14:textId="77777777" w:rsidR="00CC5832" w:rsidRDefault="00CC5832" w:rsidP="00CC5832">
      <w:pPr>
        <w:pStyle w:val="ListParagraph"/>
        <w:numPr>
          <w:ilvl w:val="0"/>
          <w:numId w:val="29"/>
        </w:numPr>
      </w:pPr>
      <w:r>
        <w:t>Local Authorities</w:t>
      </w:r>
    </w:p>
    <w:p w14:paraId="1C6059CE" w14:textId="77777777" w:rsidR="00CC5832" w:rsidRDefault="00CC5832" w:rsidP="00CC5832">
      <w:pPr>
        <w:pStyle w:val="ListParagraph"/>
        <w:numPr>
          <w:ilvl w:val="0"/>
          <w:numId w:val="29"/>
        </w:numPr>
      </w:pPr>
      <w:r>
        <w:t>Education Services</w:t>
      </w:r>
    </w:p>
    <w:p w14:paraId="3761FF37" w14:textId="77777777" w:rsidR="00CC5832" w:rsidRDefault="00CC5832" w:rsidP="00CC5832">
      <w:pPr>
        <w:pStyle w:val="ListParagraph"/>
        <w:numPr>
          <w:ilvl w:val="0"/>
          <w:numId w:val="29"/>
        </w:numPr>
      </w:pPr>
      <w:r>
        <w:t>Fire and Rescue Services</w:t>
      </w:r>
    </w:p>
    <w:p w14:paraId="4588B07B" w14:textId="77777777" w:rsidR="00CC5832" w:rsidRDefault="00CC5832" w:rsidP="00CC5832">
      <w:pPr>
        <w:pStyle w:val="ListParagraph"/>
        <w:numPr>
          <w:ilvl w:val="0"/>
          <w:numId w:val="29"/>
        </w:numPr>
      </w:pPr>
      <w:r>
        <w:t>Police &amp; Judicial Services</w:t>
      </w:r>
    </w:p>
    <w:p w14:paraId="27E72DCF" w14:textId="77777777" w:rsidR="00CC5832" w:rsidRDefault="00CC5832" w:rsidP="00CC5832">
      <w:pPr>
        <w:pStyle w:val="ListParagraph"/>
        <w:numPr>
          <w:ilvl w:val="0"/>
          <w:numId w:val="29"/>
        </w:numPr>
      </w:pPr>
      <w:r>
        <w:t>Voluntary Sector Providers</w:t>
      </w:r>
    </w:p>
    <w:p w14:paraId="43E52BA3" w14:textId="34B7E21F" w:rsidR="005D187D" w:rsidRDefault="00931A56" w:rsidP="005D187D">
      <w:pPr>
        <w:pStyle w:val="ListParagraph"/>
        <w:numPr>
          <w:ilvl w:val="0"/>
          <w:numId w:val="29"/>
        </w:numPr>
      </w:pPr>
      <w:r w:rsidRPr="00931A56">
        <w:t>Other ‘data processors’ which you will be informed of</w:t>
      </w:r>
      <w:r w:rsidR="001A5652">
        <w:t xml:space="preserve"> such as TPP SystmOne </w:t>
      </w:r>
      <w:r w:rsidR="00F154EC">
        <w:t xml:space="preserve">and </w:t>
      </w:r>
      <w:r w:rsidR="00743256">
        <w:t>General Practice Solutions</w:t>
      </w:r>
      <w:r w:rsidR="00F154EC">
        <w:t xml:space="preserve"> (see </w:t>
      </w:r>
      <w:r w:rsidR="00F154EC" w:rsidRPr="005D187D">
        <w:t>appendix 1)</w:t>
      </w:r>
    </w:p>
    <w:p w14:paraId="1889F340" w14:textId="700C505F" w:rsidR="00800F65" w:rsidRDefault="00EA2C4D" w:rsidP="005D187D">
      <w:pPr>
        <w:pStyle w:val="ListParagraph"/>
        <w:numPr>
          <w:ilvl w:val="0"/>
          <w:numId w:val="29"/>
        </w:numPr>
      </w:pPr>
      <w:r>
        <w:t xml:space="preserve">We use </w:t>
      </w:r>
      <w:r w:rsidR="00800F65">
        <w:t>Heidi Health Scribe</w:t>
      </w:r>
      <w:r>
        <w:t xml:space="preserve"> to assist us with activities such as writing up patient notes and creating care plans. Limited audio may be processed in real time by the tool in order to generate draft clinical notes. This information is handled securely, is not used to make automated decisions about care, and forms part of the patient's confidential medical record only after review and approval by the clinician. All processing is carried out in accordance with UK GDPR and the Data Protection Act 2018. Patients may request further information or withdraw consent at any time. </w:t>
      </w:r>
    </w:p>
    <w:p w14:paraId="032E898F" w14:textId="49B731A3" w:rsidR="005D187D" w:rsidRDefault="005D187D" w:rsidP="005D187D">
      <w:pPr>
        <w:pStyle w:val="ListParagraph"/>
        <w:numPr>
          <w:ilvl w:val="0"/>
          <w:numId w:val="29"/>
        </w:numPr>
      </w:pPr>
      <w:r w:rsidRPr="005D187D">
        <w:lastRenderedPageBreak/>
        <w:t>We use a processor, iGPR Technologies Limited (“iGPR”), to assist us with responding to report requests relating to your patient data, such as</w:t>
      </w:r>
      <w:r>
        <w:t xml:space="preserve"> </w:t>
      </w:r>
      <w:r w:rsidRPr="005D187D">
        <w:t>subject access requests that you submit to us (or</w:t>
      </w:r>
      <w:r>
        <w:t xml:space="preserve"> </w:t>
      </w:r>
      <w:r w:rsidRPr="005D187D">
        <w:t>that someone acting on your behalf submits to us)</w:t>
      </w:r>
      <w:r>
        <w:t xml:space="preserve"> </w:t>
      </w:r>
      <w:r w:rsidRPr="005D187D">
        <w:t>and report requests that insurers submit to us under</w:t>
      </w:r>
      <w:r>
        <w:t xml:space="preserve"> </w:t>
      </w:r>
      <w:r w:rsidRPr="005D187D">
        <w:t>the Access to Medical Records Act 1988 in relation to</w:t>
      </w:r>
      <w:r>
        <w:t xml:space="preserve"> </w:t>
      </w:r>
      <w:r w:rsidRPr="005D187D">
        <w:t>a life insurance policy that you hold or that you are</w:t>
      </w:r>
      <w:r>
        <w:t xml:space="preserve"> </w:t>
      </w:r>
      <w:r w:rsidRPr="005D187D">
        <w:t>applying for.</w:t>
      </w:r>
      <w:r>
        <w:t xml:space="preserve"> </w:t>
      </w:r>
      <w:r w:rsidRPr="005D187D">
        <w:t>iGPR manages the reporting process for us</w:t>
      </w:r>
      <w:r>
        <w:t xml:space="preserve"> </w:t>
      </w:r>
      <w:r w:rsidRPr="005D187D">
        <w:t>by reviewing and responding to requests in</w:t>
      </w:r>
      <w:r>
        <w:t xml:space="preserve"> </w:t>
      </w:r>
      <w:r w:rsidRPr="005D187D">
        <w:t>accordance with our instructions and all applicable</w:t>
      </w:r>
      <w:r>
        <w:t xml:space="preserve"> </w:t>
      </w:r>
      <w:r w:rsidRPr="005D187D">
        <w:t>laws, including UK data protection laws.</w:t>
      </w:r>
      <w:r>
        <w:t xml:space="preserve"> </w:t>
      </w:r>
      <w:r w:rsidRPr="005D187D">
        <w:t>The instructions we issue to iGPR include general</w:t>
      </w:r>
      <w:r>
        <w:t xml:space="preserve"> </w:t>
      </w:r>
      <w:r w:rsidRPr="005D187D">
        <w:t>instructions on responding to requests and specific</w:t>
      </w:r>
      <w:r>
        <w:t xml:space="preserve"> </w:t>
      </w:r>
      <w:r w:rsidRPr="005D187D">
        <w:t>instructions on issues that will require further</w:t>
      </w:r>
      <w:r>
        <w:t xml:space="preserve"> </w:t>
      </w:r>
      <w:r w:rsidRPr="005D187D">
        <w:t>consultation with the GP responsible for your care.</w:t>
      </w:r>
    </w:p>
    <w:p w14:paraId="6B44F838" w14:textId="19371FB1" w:rsidR="00800F65" w:rsidRPr="00800F65" w:rsidRDefault="007B46CD" w:rsidP="00800F65">
      <w:pPr>
        <w:pStyle w:val="ListParagraph"/>
        <w:numPr>
          <w:ilvl w:val="0"/>
          <w:numId w:val="29"/>
        </w:numPr>
        <w:rPr>
          <w:rStyle w:val="Emphasis"/>
          <w:sz w:val="18"/>
          <w:szCs w:val="18"/>
        </w:rPr>
      </w:pPr>
      <w:r w:rsidRPr="007B46CD">
        <w:rPr>
          <w:rStyle w:val="Emphasis"/>
          <w:rFonts w:cs="Open Sans"/>
          <w:i w:val="0"/>
          <w:iCs w:val="0"/>
        </w:rPr>
        <w:t xml:space="preserve">We use the NHS Account Messaging Service provided by NHS England to send you messages relating to your health and care. You need to be an NHS App user to receive these messages. Further information about the service can be found at the </w:t>
      </w:r>
      <w:hyperlink r:id="rId21" w:tgtFrame="_blank" w:history="1">
        <w:r w:rsidRPr="007B46CD">
          <w:rPr>
            <w:rStyle w:val="Hyperlink"/>
            <w:rFonts w:cs="Open Sans"/>
            <w:b/>
            <w:bCs/>
            <w:i/>
            <w:iCs/>
            <w:color w:val="595959" w:themeColor="text1" w:themeTint="A6"/>
          </w:rPr>
          <w:t>privacy notice for the NHS App</w:t>
        </w:r>
      </w:hyperlink>
      <w:r w:rsidRPr="007B46CD">
        <w:rPr>
          <w:rStyle w:val="Emphasis"/>
          <w:rFonts w:cs="Open Sans"/>
          <w:i w:val="0"/>
          <w:iCs w:val="0"/>
        </w:rPr>
        <w:t xml:space="preserve"> managed by NHS England.</w:t>
      </w:r>
    </w:p>
    <w:p w14:paraId="0FBFB5B9" w14:textId="77777777" w:rsidR="00931A56" w:rsidRDefault="00CC5832">
      <w:r>
        <w:t xml:space="preserve">Note: </w:t>
      </w:r>
      <w:r w:rsidRPr="00CC5832">
        <w:t xml:space="preserve">in some cases </w:t>
      </w:r>
      <w:r>
        <w:t xml:space="preserve">you will be </w:t>
      </w:r>
      <w:r w:rsidRPr="00CC5832">
        <w:t xml:space="preserve">asked for explicit consent for </w:t>
      </w:r>
      <w:r>
        <w:t xml:space="preserve">personal data sharing </w:t>
      </w:r>
      <w:r w:rsidRPr="00CC5832">
        <w:t>when this is required. We may also use external companies to process personal information, such as for archiving purposes. These companies are bound by contractual agreements to ensure information is kept confidential and secure.</w:t>
      </w:r>
    </w:p>
    <w:p w14:paraId="48AB395F" w14:textId="77777777" w:rsidR="00CC5832" w:rsidRDefault="00CC5832">
      <w:pPr>
        <w:rPr>
          <w:sz w:val="36"/>
        </w:rPr>
      </w:pPr>
    </w:p>
    <w:p w14:paraId="6BC4D012" w14:textId="77777777" w:rsidR="00EC667E" w:rsidRDefault="003E35D1" w:rsidP="00EC667E">
      <w:pPr>
        <w:pStyle w:val="Heading1"/>
      </w:pPr>
      <w:bookmarkStart w:id="8" w:name="_Toc514945668"/>
      <w:r>
        <w:lastRenderedPageBreak/>
        <w:t>Subject Access Requests</w:t>
      </w:r>
      <w:r w:rsidR="009A57A5">
        <w:t xml:space="preserve"> and </w:t>
      </w:r>
      <w:r w:rsidR="00AB348B">
        <w:t>Data Portability</w:t>
      </w:r>
      <w:bookmarkEnd w:id="8"/>
    </w:p>
    <w:p w14:paraId="786F2537" w14:textId="77777777" w:rsidR="009A57A5" w:rsidRDefault="00C17338" w:rsidP="009A57A5">
      <w:pPr>
        <w:pStyle w:val="Heading2"/>
      </w:pPr>
      <w:r>
        <w:rPr>
          <w:noProof/>
          <w:lang w:val="en-GB" w:eastAsia="en-GB"/>
        </w:rPr>
        <w:drawing>
          <wp:inline distT="0" distB="0" distL="0" distR="0" wp14:anchorId="452BD82C" wp14:editId="3E10E015">
            <wp:extent cx="5640705" cy="2514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ubject-Access-Requests.jpg"/>
                    <pic:cNvPicPr/>
                  </pic:nvPicPr>
                  <pic:blipFill rotWithShape="1">
                    <a:blip r:embed="rId22">
                      <a:extLst>
                        <a:ext uri="{28A0092B-C50C-407E-A947-70E740481C1C}">
                          <a14:useLocalDpi xmlns:a14="http://schemas.microsoft.com/office/drawing/2010/main" val="0"/>
                        </a:ext>
                      </a:extLst>
                    </a:blip>
                    <a:srcRect b="4555"/>
                    <a:stretch/>
                  </pic:blipFill>
                  <pic:spPr bwMode="auto">
                    <a:xfrm>
                      <a:off x="0" y="0"/>
                      <a:ext cx="5640705" cy="2514600"/>
                    </a:xfrm>
                    <a:prstGeom prst="rect">
                      <a:avLst/>
                    </a:prstGeom>
                    <a:ln>
                      <a:noFill/>
                    </a:ln>
                    <a:extLst>
                      <a:ext uri="{53640926-AAD7-44D8-BBD7-CCE9431645EC}">
                        <a14:shadowObscured xmlns:a14="http://schemas.microsoft.com/office/drawing/2010/main"/>
                      </a:ext>
                    </a:extLst>
                  </pic:spPr>
                </pic:pic>
              </a:graphicData>
            </a:graphic>
          </wp:inline>
        </w:drawing>
      </w:r>
      <w:r w:rsidR="009A57A5">
        <w:t>Subject Access Requests</w:t>
      </w:r>
      <w:r w:rsidR="00D22A01">
        <w:t xml:space="preserve"> (SAR)</w:t>
      </w:r>
      <w:r w:rsidR="009A57A5">
        <w:t>, Rectifications and Erasure</w:t>
      </w:r>
    </w:p>
    <w:p w14:paraId="5AF3B7B9" w14:textId="77777777" w:rsidR="00C17338" w:rsidRDefault="009A57A5" w:rsidP="009A57A5">
      <w:r>
        <w:t xml:space="preserve">You have a right under the Data Protection Act </w:t>
      </w:r>
      <w:r w:rsidR="00696159">
        <w:t>(as amended)</w:t>
      </w:r>
      <w:r>
        <w:t xml:space="preserve"> to request access to view or to obtain copies of what information our surgery holds about you and to have it amended should it be inaccurate. </w:t>
      </w:r>
    </w:p>
    <w:p w14:paraId="52DC2114" w14:textId="77777777" w:rsidR="009A57A5" w:rsidRDefault="009A57A5" w:rsidP="009A57A5">
      <w:r>
        <w:t>In some circumstances you may also request the erasure of your personal data that we hold. In order to request this, you need to do the following:</w:t>
      </w:r>
    </w:p>
    <w:p w14:paraId="61EDD32E" w14:textId="77777777" w:rsidR="009A57A5" w:rsidRDefault="009A57A5" w:rsidP="009A57A5">
      <w:pPr>
        <w:pStyle w:val="ListParagraph"/>
        <w:numPr>
          <w:ilvl w:val="0"/>
          <w:numId w:val="31"/>
        </w:numPr>
        <w:spacing w:after="0"/>
      </w:pPr>
      <w:r>
        <w:t>Your request must be made in writing to our Data Controller (details below)</w:t>
      </w:r>
      <w:r w:rsidR="00C57A75">
        <w:t>.</w:t>
      </w:r>
    </w:p>
    <w:p w14:paraId="7BCB8085" w14:textId="77777777" w:rsidR="009A57A5" w:rsidRDefault="009A57A5" w:rsidP="009A57A5">
      <w:pPr>
        <w:pStyle w:val="ListParagraph"/>
        <w:numPr>
          <w:ilvl w:val="0"/>
          <w:numId w:val="31"/>
        </w:numPr>
        <w:spacing w:after="0"/>
      </w:pPr>
      <w:r>
        <w:t>For information from the hospital you should write directly to them</w:t>
      </w:r>
      <w:r w:rsidR="00C57A75">
        <w:t>.</w:t>
      </w:r>
    </w:p>
    <w:p w14:paraId="490E7556" w14:textId="77777777" w:rsidR="00696159" w:rsidRDefault="00696159" w:rsidP="00C17338">
      <w:pPr>
        <w:pStyle w:val="ListParagraph"/>
        <w:numPr>
          <w:ilvl w:val="0"/>
          <w:numId w:val="31"/>
        </w:numPr>
        <w:spacing w:after="0"/>
      </w:pPr>
      <w:r>
        <w:t>Normally t</w:t>
      </w:r>
      <w:r w:rsidRPr="00696159">
        <w:t>here is no charge to have a printed copy of the information we hold about you</w:t>
      </w:r>
      <w:r w:rsidR="00C17338">
        <w:t xml:space="preserve">. </w:t>
      </w:r>
      <w:r>
        <w:t xml:space="preserve">However, we </w:t>
      </w:r>
      <w:r w:rsidR="00C17338">
        <w:t>may</w:t>
      </w:r>
      <w:r>
        <w:t xml:space="preserve"> refuse to comply with a request for erasure if it is ‘manifestly unfounded or excessive</w:t>
      </w:r>
      <w:r w:rsidR="00C17338">
        <w:t>’</w:t>
      </w:r>
      <w:r>
        <w:t>, taking into account whether the requ</w:t>
      </w:r>
      <w:r w:rsidR="00C17338">
        <w:t xml:space="preserve">est is repetitive in nature. </w:t>
      </w:r>
      <w:r>
        <w:t>If we consider that your request fits this description, we will justify our decision in writing to you by:</w:t>
      </w:r>
    </w:p>
    <w:p w14:paraId="4AB84A5E" w14:textId="77777777" w:rsidR="00696159" w:rsidRDefault="00696159" w:rsidP="00696159">
      <w:pPr>
        <w:pStyle w:val="ListParagraph"/>
        <w:numPr>
          <w:ilvl w:val="1"/>
          <w:numId w:val="31"/>
        </w:numPr>
        <w:spacing w:after="0"/>
      </w:pPr>
      <w:r>
        <w:t>requesting a "reasonable fee" in advance to cover our excess administration costs to deal with a very complex request; or</w:t>
      </w:r>
    </w:p>
    <w:p w14:paraId="1B09E818" w14:textId="77777777" w:rsidR="00696159" w:rsidRDefault="00696159" w:rsidP="00696159">
      <w:pPr>
        <w:pStyle w:val="ListParagraph"/>
        <w:numPr>
          <w:ilvl w:val="1"/>
          <w:numId w:val="31"/>
        </w:numPr>
        <w:spacing w:after="0"/>
      </w:pPr>
      <w:r>
        <w:t>refuse to deal with your request - providing a clear justification.</w:t>
      </w:r>
    </w:p>
    <w:p w14:paraId="6619A26E" w14:textId="77777777" w:rsidR="009A57A5" w:rsidRDefault="009A57A5" w:rsidP="00696159">
      <w:pPr>
        <w:pStyle w:val="ListParagraph"/>
        <w:numPr>
          <w:ilvl w:val="0"/>
          <w:numId w:val="31"/>
        </w:numPr>
        <w:spacing w:after="0"/>
      </w:pPr>
      <w:r>
        <w:t xml:space="preserve">We are required to respond to you within </w:t>
      </w:r>
      <w:r w:rsidR="00051280">
        <w:t>one month</w:t>
      </w:r>
      <w:r w:rsidR="00C57A75">
        <w:t>, unless it is a complex request - which we will inform you of. Then we are required to respond to you within two further months.</w:t>
      </w:r>
    </w:p>
    <w:p w14:paraId="00793B45" w14:textId="77777777" w:rsidR="00696159" w:rsidRDefault="009A57A5" w:rsidP="00696159">
      <w:pPr>
        <w:pStyle w:val="ListParagraph"/>
        <w:numPr>
          <w:ilvl w:val="0"/>
          <w:numId w:val="31"/>
        </w:numPr>
        <w:spacing w:after="0"/>
      </w:pPr>
      <w:r>
        <w:t>You will need to give adequate information (for example full name, address, date of birth, NHS number and details of your request) so that your identity can be verified and your records located</w:t>
      </w:r>
      <w:r w:rsidR="00C57A75">
        <w:t>.</w:t>
      </w:r>
    </w:p>
    <w:p w14:paraId="45E3695C" w14:textId="77777777" w:rsidR="00C17338" w:rsidRDefault="00C17338">
      <w:pPr>
        <w:rPr>
          <w:rFonts w:asciiTheme="majorHAnsi" w:eastAsiaTheme="majorEastAsia" w:hAnsiTheme="majorHAnsi" w:cstheme="majorBidi"/>
          <w:caps/>
          <w:color w:val="577188" w:themeColor="accent1" w:themeShade="BF"/>
          <w:sz w:val="24"/>
        </w:rPr>
      </w:pPr>
      <w:r>
        <w:br w:type="page"/>
      </w:r>
    </w:p>
    <w:p w14:paraId="404DB71B" w14:textId="77777777" w:rsidR="00AB348B" w:rsidRDefault="00AB348B" w:rsidP="00AB348B">
      <w:pPr>
        <w:pStyle w:val="Heading2"/>
      </w:pPr>
      <w:r>
        <w:lastRenderedPageBreak/>
        <w:t xml:space="preserve">Requesting a copy </w:t>
      </w:r>
      <w:r w:rsidR="00D22A01">
        <w:t xml:space="preserve">or transfer </w:t>
      </w:r>
      <w:r>
        <w:t>of your data – referred to as ‘data portability’</w:t>
      </w:r>
    </w:p>
    <w:p w14:paraId="00764D18" w14:textId="77777777" w:rsidR="00C17338" w:rsidRDefault="00051280" w:rsidP="00AB348B">
      <w:r>
        <w:t>You have the right to data portability</w:t>
      </w:r>
      <w:r w:rsidR="00D22A01">
        <w:t xml:space="preserve">. </w:t>
      </w:r>
      <w:r>
        <w:t xml:space="preserve">This </w:t>
      </w:r>
      <w:r w:rsidRPr="00051280">
        <w:t xml:space="preserve">allows </w:t>
      </w:r>
      <w:r>
        <w:t xml:space="preserve">patients </w:t>
      </w:r>
      <w:r w:rsidRPr="00051280">
        <w:t xml:space="preserve">to obtain and reuse their personal data </w:t>
      </w:r>
      <w:r w:rsidR="00C57A75">
        <w:t xml:space="preserve">they have </w:t>
      </w:r>
      <w:r>
        <w:t xml:space="preserve">provided to us </w:t>
      </w:r>
      <w:r w:rsidRPr="00051280">
        <w:t>for their own pur</w:t>
      </w:r>
      <w:r>
        <w:t>poses across different services – for example, if you migrate to a foreign countr</w:t>
      </w:r>
      <w:r w:rsidR="00C57A75">
        <w:t xml:space="preserve">y you may wish us to transfer or transmit </w:t>
      </w:r>
      <w:r>
        <w:t>your EPR (Electronic Patient Record)</w:t>
      </w:r>
      <w:r w:rsidR="00C57A75">
        <w:t xml:space="preserve"> directly</w:t>
      </w:r>
      <w:r>
        <w:t xml:space="preserve"> to </w:t>
      </w:r>
      <w:r w:rsidR="00C57A75">
        <w:t>your</w:t>
      </w:r>
      <w:r>
        <w:t xml:space="preserve"> new healthcare provider</w:t>
      </w:r>
      <w:r w:rsidR="00D22A01">
        <w:t xml:space="preserve"> who is not part of the NHS</w:t>
      </w:r>
      <w:r>
        <w:t xml:space="preserve"> - so they can </w:t>
      </w:r>
      <w:r w:rsidR="00C57A75">
        <w:t>import</w:t>
      </w:r>
      <w:r>
        <w:t xml:space="preserve"> </w:t>
      </w:r>
      <w:r w:rsidR="00C57A75">
        <w:t xml:space="preserve">your </w:t>
      </w:r>
      <w:r>
        <w:t xml:space="preserve">medical records into their </w:t>
      </w:r>
      <w:r w:rsidR="00D22A01">
        <w:t xml:space="preserve">own </w:t>
      </w:r>
      <w:r>
        <w:t>IT system.</w:t>
      </w:r>
    </w:p>
    <w:p w14:paraId="557853BB" w14:textId="77777777" w:rsidR="00AB348B" w:rsidRDefault="00C17338" w:rsidP="00AB348B">
      <w:r>
        <w:t>Patients need to complete our</w:t>
      </w:r>
      <w:r w:rsidR="00D22A01">
        <w:t xml:space="preserve"> Subject Access Request (SAR) form to request a digital or paper copy of their data or to request an electronic transfer of the data to another data controller.</w:t>
      </w:r>
    </w:p>
    <w:p w14:paraId="043107C0" w14:textId="77777777" w:rsidR="00C17338" w:rsidRDefault="000B1127" w:rsidP="00C17338">
      <w:pPr>
        <w:pStyle w:val="ListParagraph"/>
        <w:numPr>
          <w:ilvl w:val="0"/>
          <w:numId w:val="37"/>
        </w:numPr>
      </w:pPr>
      <w:r>
        <w:t xml:space="preserve">In the first instance we prefer to signpost patients to </w:t>
      </w:r>
      <w:r w:rsidRPr="00C17338">
        <w:rPr>
          <w:b/>
        </w:rPr>
        <w:t>NHS Patient Online</w:t>
      </w:r>
      <w:r>
        <w:t xml:space="preserve"> – a website where you can view your personal</w:t>
      </w:r>
      <w:r w:rsidRPr="000B1127">
        <w:t xml:space="preserve"> GP record (which includes coded information about allergies, immunisations, diagnoses, medication and test results).</w:t>
      </w:r>
    </w:p>
    <w:p w14:paraId="68031562" w14:textId="77777777" w:rsidR="00C17338" w:rsidRDefault="000B1127" w:rsidP="00C17338">
      <w:pPr>
        <w:pStyle w:val="ListParagraph"/>
        <w:numPr>
          <w:ilvl w:val="0"/>
          <w:numId w:val="37"/>
        </w:numPr>
      </w:pPr>
      <w:r>
        <w:t xml:space="preserve">In </w:t>
      </w:r>
      <w:r w:rsidR="00C17338">
        <w:t>other</w:t>
      </w:r>
      <w:r>
        <w:t xml:space="preserve"> instances - we can securely email you details of your Summary Care Record via </w:t>
      </w:r>
      <w:r w:rsidR="00C17338" w:rsidRPr="00C17338">
        <w:rPr>
          <w:b/>
        </w:rPr>
        <w:t xml:space="preserve">Encrypted </w:t>
      </w:r>
      <w:r w:rsidRPr="00C17338">
        <w:rPr>
          <w:b/>
        </w:rPr>
        <w:t>NHS Mail</w:t>
      </w:r>
      <w:r>
        <w:t>. This will require your access to</w:t>
      </w:r>
      <w:r w:rsidR="00B00D16">
        <w:t xml:space="preserve"> a personal</w:t>
      </w:r>
      <w:r>
        <w:t xml:space="preserve"> email account and a web-browser – </w:t>
      </w:r>
      <w:r w:rsidR="00B00D16">
        <w:t>so you can</w:t>
      </w:r>
      <w:r>
        <w:t xml:space="preserve"> setup a free NHS online account to </w:t>
      </w:r>
      <w:r w:rsidR="00C17338">
        <w:t xml:space="preserve">unlock and </w:t>
      </w:r>
      <w:r>
        <w:t xml:space="preserve">view your </w:t>
      </w:r>
      <w:r w:rsidR="00C17338">
        <w:t>safeguarded</w:t>
      </w:r>
      <w:r>
        <w:t xml:space="preserve"> </w:t>
      </w:r>
      <w:r w:rsidR="00B00D16">
        <w:t>medical records</w:t>
      </w:r>
      <w:r>
        <w:t xml:space="preserve"> </w:t>
      </w:r>
      <w:r w:rsidR="00B00D16">
        <w:t>that are</w:t>
      </w:r>
      <w:r>
        <w:t xml:space="preserve"> encrypted by NHS Digital.</w:t>
      </w:r>
    </w:p>
    <w:p w14:paraId="59583920" w14:textId="77777777" w:rsidR="00C17338" w:rsidRDefault="00C17338" w:rsidP="00C17338">
      <w:pPr>
        <w:pStyle w:val="ListParagraph"/>
        <w:numPr>
          <w:ilvl w:val="0"/>
          <w:numId w:val="37"/>
        </w:numPr>
      </w:pPr>
      <w:r>
        <w:t>Alternatively,</w:t>
      </w:r>
      <w:r w:rsidR="00F06A26">
        <w:t xml:space="preserve"> we can provide your personal medical records as </w:t>
      </w:r>
      <w:r w:rsidRPr="00C17338">
        <w:rPr>
          <w:b/>
        </w:rPr>
        <w:t xml:space="preserve">digital </w:t>
      </w:r>
      <w:r>
        <w:rPr>
          <w:b/>
        </w:rPr>
        <w:t xml:space="preserve">files </w:t>
      </w:r>
      <w:r>
        <w:t>–</w:t>
      </w:r>
      <w:r w:rsidRPr="00C17338">
        <w:t xml:space="preserve"> </w:t>
      </w:r>
      <w:r>
        <w:t>as either text</w:t>
      </w:r>
      <w:r w:rsidR="00F06A26">
        <w:t xml:space="preserve"> (.txt format) or spreadsheet (.csv format) </w:t>
      </w:r>
      <w:r>
        <w:t xml:space="preserve">documents </w:t>
      </w:r>
      <w:r w:rsidR="00F06A26">
        <w:t>via</w:t>
      </w:r>
      <w:r>
        <w:t xml:space="preserve"> a secure web transfer service.</w:t>
      </w:r>
    </w:p>
    <w:p w14:paraId="28946960" w14:textId="77777777" w:rsidR="006658D0" w:rsidRPr="000B1127" w:rsidRDefault="00F06A26" w:rsidP="00C17338">
      <w:r>
        <w:t xml:space="preserve">In all of the above instances we will need you to verify your identity to ensure </w:t>
      </w:r>
      <w:r w:rsidR="00C17338">
        <w:t xml:space="preserve">that </w:t>
      </w:r>
      <w:r>
        <w:t xml:space="preserve">your personal </w:t>
      </w:r>
      <w:r w:rsidR="00C17338">
        <w:t xml:space="preserve">medical </w:t>
      </w:r>
      <w:r>
        <w:t xml:space="preserve">records are </w:t>
      </w:r>
      <w:r w:rsidR="00C17338">
        <w:t>only released to you - or an appointed person you have authorised us to send your confidential data to.</w:t>
      </w:r>
    </w:p>
    <w:p w14:paraId="609B5F2A" w14:textId="77777777" w:rsidR="00DE5CDA" w:rsidRDefault="00DE5CDA" w:rsidP="00DE5CDA">
      <w:pPr>
        <w:pStyle w:val="Heading2"/>
      </w:pPr>
      <w:r>
        <w:t>Data Controller</w:t>
      </w:r>
    </w:p>
    <w:p w14:paraId="439EBF8D" w14:textId="77777777" w:rsidR="00DE5CDA" w:rsidRDefault="007C14E7" w:rsidP="00DE5CDA">
      <w:r>
        <w:t>The</w:t>
      </w:r>
      <w:r w:rsidR="00DE5CDA">
        <w:t xml:space="preserve"> </w:t>
      </w:r>
      <w:r>
        <w:t>p</w:t>
      </w:r>
      <w:r w:rsidR="00DE5CDA">
        <w:t xml:space="preserve">ractice is </w:t>
      </w:r>
      <w:r>
        <w:t xml:space="preserve">legally </w:t>
      </w:r>
      <w:r w:rsidR="00DE5CDA">
        <w:t>classified as</w:t>
      </w:r>
      <w:r>
        <w:t xml:space="preserve"> a Data Controller because of the way we process personal data of patients and staff. Our entire organisation is </w:t>
      </w:r>
      <w:r w:rsidR="00DE5CDA">
        <w:t>r</w:t>
      </w:r>
      <w:r w:rsidR="00DE5CDA" w:rsidRPr="00DE5CDA">
        <w:t>esponsible for keeping your informa</w:t>
      </w:r>
      <w:r>
        <w:t xml:space="preserve">tion secure and confidential – however our main representative </w:t>
      </w:r>
      <w:r w:rsidR="001D0D73">
        <w:t xml:space="preserve">for </w:t>
      </w:r>
      <w:r w:rsidR="009A57A5">
        <w:t xml:space="preserve">handling your personal </w:t>
      </w:r>
      <w:r w:rsidR="001D0D73">
        <w:t xml:space="preserve">data </w:t>
      </w:r>
      <w:r w:rsidR="009A57A5">
        <w:t xml:space="preserve">related questions or </w:t>
      </w:r>
      <w:r w:rsidR="00D22A01">
        <w:t>Subject Access R</w:t>
      </w:r>
      <w:r w:rsidR="009A57A5">
        <w:t>equests</w:t>
      </w:r>
      <w:r w:rsidR="00D22A01">
        <w:t xml:space="preserve"> (SAR)</w:t>
      </w:r>
      <w:r w:rsidR="009A57A5">
        <w:t xml:space="preserve"> </w:t>
      </w:r>
      <w:r>
        <w:t xml:space="preserve">is </w:t>
      </w:r>
      <w:r w:rsidR="009A57A5">
        <w:t>our</w:t>
      </w:r>
      <w:r>
        <w:t xml:space="preserve"> Data Protection Offi</w:t>
      </w:r>
      <w:r w:rsidR="009A57A5">
        <w:t>cer (DPO)</w:t>
      </w:r>
      <w:r w:rsidR="00C17338">
        <w:t>.</w:t>
      </w:r>
    </w:p>
    <w:p w14:paraId="3C275047" w14:textId="77777777" w:rsidR="00D22A01" w:rsidRDefault="00D22A01" w:rsidP="00D22A01">
      <w:pPr>
        <w:pStyle w:val="Heading2"/>
      </w:pPr>
      <w:r>
        <w:t>Data Protection Officer (DPO)</w:t>
      </w:r>
    </w:p>
    <w:p w14:paraId="4B3F7548" w14:textId="59DE1D59" w:rsidR="00D22A01" w:rsidRDefault="006E63FE">
      <w:r>
        <w:t xml:space="preserve">Barry </w:t>
      </w:r>
      <w:r w:rsidR="001B78FC">
        <w:t>Jackson</w:t>
      </w:r>
      <w:r>
        <w:t xml:space="preserve"> and Sarah Cunningham are</w:t>
      </w:r>
      <w:r w:rsidR="00D22A01">
        <w:t xml:space="preserve"> currently t</w:t>
      </w:r>
      <w:r w:rsidR="00D22A01" w:rsidRPr="007C14E7">
        <w:t>he main contact</w:t>
      </w:r>
      <w:r>
        <w:t>s</w:t>
      </w:r>
      <w:r w:rsidR="00D22A01" w:rsidRPr="007C14E7">
        <w:t xml:space="preserve"> fo</w:t>
      </w:r>
      <w:r w:rsidR="001A1159">
        <w:t>r all personal data queries and</w:t>
      </w:r>
      <w:r w:rsidR="00D22A01">
        <w:t xml:space="preserve"> Subject Access R</w:t>
      </w:r>
      <w:r w:rsidR="00D22A01" w:rsidRPr="007C14E7">
        <w:t>equests</w:t>
      </w:r>
      <w:r w:rsidR="00D22A01">
        <w:t xml:space="preserve"> (SAR) and fulfil the role of our Data Protection Officer until further notice. C</w:t>
      </w:r>
      <w:r w:rsidR="00D22A01" w:rsidRPr="007C14E7">
        <w:t>ontact details are shown in th</w:t>
      </w:r>
      <w:r w:rsidR="00D22A01">
        <w:t>e table below</w:t>
      </w:r>
      <w:r w:rsidR="00D22A01" w:rsidRPr="007C14E7">
        <w:t>.</w:t>
      </w:r>
    </w:p>
    <w:p w14:paraId="5C831B8E" w14:textId="77777777" w:rsidR="004C3B90" w:rsidRDefault="004C3B90">
      <w:r>
        <w:br w:type="page"/>
      </w:r>
    </w:p>
    <w:p w14:paraId="2CC4EC9B" w14:textId="77777777" w:rsidR="00D3174D" w:rsidRDefault="00D3174D" w:rsidP="00D3174D">
      <w:pPr>
        <w:pStyle w:val="Heading1"/>
      </w:pPr>
      <w:bookmarkStart w:id="9" w:name="_Toc514945669"/>
      <w:r>
        <w:lastRenderedPageBreak/>
        <w:t>Website cookies</w:t>
      </w:r>
      <w:bookmarkEnd w:id="9"/>
    </w:p>
    <w:p w14:paraId="19B5BDDE" w14:textId="77777777" w:rsidR="00D3174D" w:rsidRDefault="00B76D07" w:rsidP="00D3174D">
      <w:r>
        <w:rPr>
          <w:noProof/>
          <w:lang w:val="en-GB" w:eastAsia="en-GB"/>
        </w:rPr>
        <w:drawing>
          <wp:inline distT="0" distB="0" distL="0" distR="0" wp14:anchorId="28716623" wp14:editId="216824C2">
            <wp:extent cx="5640705" cy="25812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eb-Cookies.jpg"/>
                    <pic:cNvPicPr/>
                  </pic:nvPicPr>
                  <pic:blipFill rotWithShape="1">
                    <a:blip r:embed="rId23">
                      <a:extLst>
                        <a:ext uri="{28A0092B-C50C-407E-A947-70E740481C1C}">
                          <a14:useLocalDpi xmlns:a14="http://schemas.microsoft.com/office/drawing/2010/main" val="0"/>
                        </a:ext>
                      </a:extLst>
                    </a:blip>
                    <a:srcRect b="21403"/>
                    <a:stretch/>
                  </pic:blipFill>
                  <pic:spPr bwMode="auto">
                    <a:xfrm>
                      <a:off x="0" y="0"/>
                      <a:ext cx="5640705" cy="2581275"/>
                    </a:xfrm>
                    <a:prstGeom prst="rect">
                      <a:avLst/>
                    </a:prstGeom>
                    <a:ln>
                      <a:noFill/>
                    </a:ln>
                    <a:extLst>
                      <a:ext uri="{53640926-AAD7-44D8-BBD7-CCE9431645EC}">
                        <a14:shadowObscured xmlns:a14="http://schemas.microsoft.com/office/drawing/2010/main"/>
                      </a:ext>
                    </a:extLst>
                  </pic:spPr>
                </pic:pic>
              </a:graphicData>
            </a:graphic>
          </wp:inline>
        </w:drawing>
      </w:r>
      <w:r w:rsidR="00D3174D">
        <w:rPr>
          <w:noProof/>
          <w:lang w:val="en-GB" w:eastAsia="en-GB"/>
        </w:rPr>
        <w:t xml:space="preserve"> </w:t>
      </w:r>
    </w:p>
    <w:p w14:paraId="6C41B308" w14:textId="77777777" w:rsidR="00D3174D" w:rsidRDefault="006309CA" w:rsidP="00D3174D">
      <w:r>
        <w:t>Website c</w:t>
      </w:r>
      <w:r w:rsidR="00D3174D" w:rsidRPr="00D3174D">
        <w:t xml:space="preserve">ookies are small computer files that get sent down to your PC, tablet or mobile phone by websites when you visit them. They stay on your device and get sent back to the website they came from, when you go there again. Cookies store information about your visits to that website, such as your choices and other details. Some of this data does not contain personal details about you or your business, but it is still protected by this </w:t>
      </w:r>
      <w:r w:rsidR="00D3174D">
        <w:t xml:space="preserve">Patient </w:t>
      </w:r>
      <w:r w:rsidR="00D3174D" w:rsidRPr="00D3174D">
        <w:t>Privacy notice.</w:t>
      </w:r>
      <w:r w:rsidR="00D3174D">
        <w:t xml:space="preserve"> </w:t>
      </w:r>
      <w:r w:rsidR="008F67BC">
        <w:t xml:space="preserve">By using our website you agree that we can place these types of cookies on your device, however you can block these cookies using your </w:t>
      </w:r>
      <w:r>
        <w:t xml:space="preserve">web </w:t>
      </w:r>
      <w:r w:rsidR="008F67BC">
        <w:t xml:space="preserve">browser settings. </w:t>
      </w:r>
      <w:r w:rsidR="00D3174D">
        <w:t xml:space="preserve">Our General Practice </w:t>
      </w:r>
      <w:r>
        <w:t>may use</w:t>
      </w:r>
      <w:r w:rsidR="00D3174D">
        <w:t xml:space="preserve"> these </w:t>
      </w:r>
      <w:r w:rsidR="008F67BC">
        <w:t xml:space="preserve">different </w:t>
      </w:r>
      <w:r w:rsidR="00D3174D">
        <w:t>types of cookies on our website…</w:t>
      </w:r>
    </w:p>
    <w:p w14:paraId="2F7E1B64" w14:textId="77777777" w:rsidR="00D3174D" w:rsidRDefault="00D3174D" w:rsidP="00D3174D">
      <w:pPr>
        <w:pStyle w:val="Heading2"/>
      </w:pPr>
      <w:r>
        <w:t>Session cookies</w:t>
      </w:r>
      <w:r w:rsidR="00F112CF">
        <w:t xml:space="preserve"> (TEMPORARY</w:t>
      </w:r>
      <w:r w:rsidR="00B76D07">
        <w:t xml:space="preserve"> only</w:t>
      </w:r>
      <w:r w:rsidR="00F112CF">
        <w:t>)</w:t>
      </w:r>
    </w:p>
    <w:p w14:paraId="13ED8AF2" w14:textId="77777777" w:rsidR="00D3174D" w:rsidRDefault="00D3174D" w:rsidP="00D3174D">
      <w:r>
        <w:t>Session cookies last only for the duration of your visit and are deleted when you close your browser. These facilitate various tasks such as allowing a website to identify that a user of a particular device is navigating from page to page, supporting website security or basic functionality.</w:t>
      </w:r>
      <w:r w:rsidR="00425048">
        <w:t xml:space="preserve"> </w:t>
      </w:r>
      <w:r>
        <w:t>Many of the cookies we use are session cookies. For example, they help us to ensure the security of your session, and can also keep you signed in to our website while you move between pages or service your online account.</w:t>
      </w:r>
      <w:r w:rsidR="00F112CF">
        <w:t xml:space="preserve"> </w:t>
      </w:r>
      <w:r>
        <w:t xml:space="preserve">Our session cookies used for security are designed to be very difficult to use except by us when you have an active session. They contain no personal information that can be </w:t>
      </w:r>
      <w:r w:rsidR="00F112CF">
        <w:t>used to identify an individual.</w:t>
      </w:r>
    </w:p>
    <w:p w14:paraId="1AF8218F" w14:textId="77777777" w:rsidR="00D3174D" w:rsidRDefault="00D3174D" w:rsidP="00D3174D">
      <w:pPr>
        <w:pStyle w:val="Heading2"/>
      </w:pPr>
      <w:r>
        <w:t>Persistent cookies</w:t>
      </w:r>
      <w:r w:rsidR="00F112CF">
        <w:t xml:space="preserve"> (LASt fOREVER UNLESS CLEARED BY YOU)</w:t>
      </w:r>
    </w:p>
    <w:p w14:paraId="3C2C34E7" w14:textId="77777777" w:rsidR="00D3174D" w:rsidRDefault="00D3174D" w:rsidP="00D3174D">
      <w:r>
        <w:t xml:space="preserve">Persistent cookies last after you have closed your browser, and allow a website to remember your actions and preferences. Sometimes persistent cookies are used by websites to provide targeted </w:t>
      </w:r>
      <w:r w:rsidR="00F112CF">
        <w:t>content</w:t>
      </w:r>
      <w:r>
        <w:t xml:space="preserve"> based upon the browsing history of the device.</w:t>
      </w:r>
      <w:r w:rsidR="00B76D07">
        <w:t xml:space="preserve"> </w:t>
      </w:r>
      <w:r>
        <w:t>We use persistent cookies i</w:t>
      </w:r>
      <w:r w:rsidR="00F112CF">
        <w:t>n a few ways, for example -</w:t>
      </w:r>
      <w:r>
        <w:t xml:space="preserve"> to remember </w:t>
      </w:r>
      <w:r w:rsidR="00F112CF">
        <w:t>you have visited our website before and to prevent us showing you a ‘Cookie Information’ banner being shown every time you revisit the website</w:t>
      </w:r>
      <w:r>
        <w:t xml:space="preserve">. We also use persistent cookies to allow us to analyse customer visits to our site. These cookies help us to understand how </w:t>
      </w:r>
      <w:r w:rsidR="00F112CF">
        <w:t>web visitors</w:t>
      </w:r>
      <w:r>
        <w:t xml:space="preserve"> arrive at and use our site so we can improve </w:t>
      </w:r>
      <w:r w:rsidR="00F112CF">
        <w:t>our</w:t>
      </w:r>
      <w:r>
        <w:t xml:space="preserve"> online service.</w:t>
      </w:r>
    </w:p>
    <w:p w14:paraId="06F6667A" w14:textId="77777777" w:rsidR="00D3174D" w:rsidRDefault="00D3174D" w:rsidP="00D3174D">
      <w:pPr>
        <w:pStyle w:val="Heading2"/>
      </w:pPr>
      <w:r>
        <w:lastRenderedPageBreak/>
        <w:t>First and third party cookies</w:t>
      </w:r>
    </w:p>
    <w:p w14:paraId="35C600A8" w14:textId="77777777" w:rsidR="00D3174D" w:rsidRDefault="00D3174D" w:rsidP="00D3174D">
      <w:r>
        <w:t>Whether a cookie is a first or third party cookie depends on which website the cookie comes from. First party cookies are those set by or on behalf of the website visited. All other cookies are third party cookies. We use both first party and third party cookies</w:t>
      </w:r>
      <w:r w:rsidR="00F112CF">
        <w:t>.</w:t>
      </w:r>
    </w:p>
    <w:p w14:paraId="0813F890" w14:textId="77777777" w:rsidR="00D3174D" w:rsidRDefault="00D3174D" w:rsidP="00D3174D">
      <w:pPr>
        <w:pStyle w:val="Heading2"/>
      </w:pPr>
      <w:r>
        <w:t>Performance cookies</w:t>
      </w:r>
    </w:p>
    <w:p w14:paraId="01336364" w14:textId="77777777" w:rsidR="00D3174D" w:rsidRDefault="00D3174D" w:rsidP="00D3174D">
      <w:r>
        <w:t xml:space="preserve">These cookies collect information about how visitors use a web site, for instance which pages visitors go to most often, and if they get error messages from web pages. These cookies don't collect information that identifies a visitor although they may collect the IP address of the device used to access the site. All information these cookies collect is anonymous and is only used to improve how a website works, the user experience and to optimise our </w:t>
      </w:r>
      <w:r w:rsidR="00F112CF">
        <w:t>content</w:t>
      </w:r>
      <w:r>
        <w:t xml:space="preserve"> messages. </w:t>
      </w:r>
    </w:p>
    <w:p w14:paraId="2B7893D9" w14:textId="77777777" w:rsidR="00D3174D" w:rsidRDefault="00D3174D" w:rsidP="00D3174D">
      <w:pPr>
        <w:pStyle w:val="Heading2"/>
      </w:pPr>
      <w:r>
        <w:t>Functionality cookies</w:t>
      </w:r>
    </w:p>
    <w:p w14:paraId="4BCCBF3A" w14:textId="77777777" w:rsidR="00D3174D" w:rsidRDefault="00D3174D" w:rsidP="00D3174D">
      <w:r>
        <w:t xml:space="preserve">These cookies allow the website to remember choices you make (such as your </w:t>
      </w:r>
      <w:r w:rsidR="00F112CF">
        <w:t>name in a form</w:t>
      </w:r>
      <w:r>
        <w:t xml:space="preserve">). They may also be used to provide services you have requested such as watching a video. The information these cookies collect is anonymised (i.e. it does not contain your name, address etc.) and they do not track your browsing </w:t>
      </w:r>
      <w:r w:rsidR="00F112CF">
        <w:t>activity across other websites.</w:t>
      </w:r>
    </w:p>
    <w:p w14:paraId="08D0FFC9" w14:textId="77777777" w:rsidR="00D3174D" w:rsidRDefault="00D3174D" w:rsidP="00D3174D">
      <w:pPr>
        <w:pStyle w:val="Heading2"/>
      </w:pPr>
      <w:r>
        <w:t>Targeting cookies</w:t>
      </w:r>
    </w:p>
    <w:p w14:paraId="54F1666F" w14:textId="77777777" w:rsidR="00D3174D" w:rsidRDefault="00D3174D" w:rsidP="00D3174D">
      <w:r>
        <w:t xml:space="preserve">These cookies collect several pieces of information about your browsing habits. </w:t>
      </w:r>
      <w:r w:rsidR="00F112CF">
        <w:t>If we use them t</w:t>
      </w:r>
      <w:r>
        <w:t>hey are usually placed by advertising networks. They remember that you have visited a website and this information is shared with other organisations such as media publishers. These organisations do this in order to provide you with targeted adverts more relevant to you and your interests. This type of advertising is called online behavioural advertising and place an icon in the top right hand corner of an advert. This icon when clicked, will take you through to the website Your Online Choices where there is more help and guidance for you to Opt-out of this type of advertising. You can block these cooki</w:t>
      </w:r>
      <w:r w:rsidR="00F112CF">
        <w:t>es using your browser settings.</w:t>
      </w:r>
    </w:p>
    <w:p w14:paraId="4BF394CD" w14:textId="77777777" w:rsidR="00805D6D" w:rsidRPr="00D22A01" w:rsidRDefault="001D0D73" w:rsidP="00D22A01">
      <w:pPr>
        <w:pStyle w:val="Heading1"/>
      </w:pPr>
      <w:bookmarkStart w:id="10" w:name="_Toc514945670"/>
      <w:r>
        <w:lastRenderedPageBreak/>
        <w:t xml:space="preserve">General Practice </w:t>
      </w:r>
      <w:r w:rsidR="00D22A01">
        <w:t>contacts</w:t>
      </w:r>
      <w:r>
        <w:t xml:space="preserve"> </w:t>
      </w:r>
      <w:r w:rsidR="00613C2B">
        <w:t xml:space="preserve">for personal </w:t>
      </w:r>
      <w:r w:rsidR="00D22A01">
        <w:t>data</w:t>
      </w:r>
      <w:bookmarkEnd w:id="10"/>
    </w:p>
    <w:p w14:paraId="5AA06C90" w14:textId="77777777" w:rsidR="00A9231E" w:rsidRDefault="00BF421C" w:rsidP="005350E4">
      <w:r>
        <w:rPr>
          <w:noProof/>
          <w:lang w:val="en-GB" w:eastAsia="en-GB"/>
        </w:rPr>
        <w:drawing>
          <wp:inline distT="0" distB="0" distL="0" distR="0" wp14:anchorId="3356EA5D" wp14:editId="2869BAFE">
            <wp:extent cx="5640705" cy="2680970"/>
            <wp:effectExtent l="0" t="0" r="0" b="508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P-contacts.jpg"/>
                    <pic:cNvPicPr/>
                  </pic:nvPicPr>
                  <pic:blipFill>
                    <a:blip r:embed="rId24">
                      <a:extLst>
                        <a:ext uri="{28A0092B-C50C-407E-A947-70E740481C1C}">
                          <a14:useLocalDpi xmlns:a14="http://schemas.microsoft.com/office/drawing/2010/main" val="0"/>
                        </a:ext>
                      </a:extLst>
                    </a:blip>
                    <a:stretch>
                      <a:fillRect/>
                    </a:stretch>
                  </pic:blipFill>
                  <pic:spPr>
                    <a:xfrm>
                      <a:off x="0" y="0"/>
                      <a:ext cx="5640705" cy="2680970"/>
                    </a:xfrm>
                    <a:prstGeom prst="rect">
                      <a:avLst/>
                    </a:prstGeom>
                  </pic:spPr>
                </pic:pic>
              </a:graphicData>
            </a:graphic>
          </wp:inline>
        </w:drawing>
      </w:r>
    </w:p>
    <w:p w14:paraId="5771C653" w14:textId="77777777" w:rsidR="00D22A01" w:rsidRDefault="00D22A01" w:rsidP="00D22A01">
      <w:pPr>
        <w:pStyle w:val="Heading2"/>
      </w:pPr>
      <w:r>
        <w:t>Data Protection Officer (DPO)</w:t>
      </w:r>
    </w:p>
    <w:p w14:paraId="42D23B37" w14:textId="77777777" w:rsidR="00D22A01" w:rsidRDefault="00D22A01" w:rsidP="00D22A01">
      <w:pPr>
        <w:pStyle w:val="TableHeading"/>
      </w:pPr>
      <w:r>
        <w:t>CONTACT LIST</w:t>
      </w:r>
    </w:p>
    <w:tbl>
      <w:tblPr>
        <w:tblStyle w:val="FinancialTable"/>
        <w:tblW w:w="5000" w:type="pct"/>
        <w:tblLook w:val="04A0" w:firstRow="1" w:lastRow="0" w:firstColumn="1" w:lastColumn="0" w:noHBand="0" w:noVBand="1"/>
        <w:tblDescription w:val="Financial table"/>
      </w:tblPr>
      <w:tblGrid>
        <w:gridCol w:w="2691"/>
        <w:gridCol w:w="1841"/>
        <w:gridCol w:w="2266"/>
        <w:gridCol w:w="2075"/>
      </w:tblGrid>
      <w:tr w:rsidR="00D22A01" w14:paraId="50E99047" w14:textId="77777777" w:rsidTr="009D345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516" w:type="pct"/>
          </w:tcPr>
          <w:p w14:paraId="16367763" w14:textId="77777777" w:rsidR="00D22A01" w:rsidRDefault="00D22A01" w:rsidP="009D345B">
            <w:r>
              <w:t>Name</w:t>
            </w:r>
          </w:p>
        </w:tc>
        <w:tc>
          <w:tcPr>
            <w:tcW w:w="1037" w:type="pct"/>
          </w:tcPr>
          <w:p w14:paraId="428ED29A" w14:textId="77777777" w:rsidR="00D22A01" w:rsidRDefault="00D22A01" w:rsidP="009D345B">
            <w:pPr>
              <w:jc w:val="left"/>
              <w:cnfStyle w:val="100000000000" w:firstRow="1" w:lastRow="0" w:firstColumn="0" w:lastColumn="0" w:oddVBand="0" w:evenVBand="0" w:oddHBand="0" w:evenHBand="0" w:firstRowFirstColumn="0" w:firstRowLastColumn="0" w:lastRowFirstColumn="0" w:lastRowLastColumn="0"/>
            </w:pPr>
            <w:r>
              <w:t>Position</w:t>
            </w:r>
          </w:p>
        </w:tc>
        <w:tc>
          <w:tcPr>
            <w:tcW w:w="1277" w:type="pct"/>
          </w:tcPr>
          <w:p w14:paraId="7C323C47" w14:textId="77777777" w:rsidR="00D22A01" w:rsidRDefault="00D22A01" w:rsidP="009D345B">
            <w:pPr>
              <w:jc w:val="left"/>
              <w:cnfStyle w:val="100000000000" w:firstRow="1" w:lastRow="0" w:firstColumn="0" w:lastColumn="0" w:oddVBand="0" w:evenVBand="0" w:oddHBand="0" w:evenHBand="0" w:firstRowFirstColumn="0" w:firstRowLastColumn="0" w:lastRowFirstColumn="0" w:lastRowLastColumn="0"/>
            </w:pPr>
            <w:r>
              <w:t>email</w:t>
            </w:r>
          </w:p>
        </w:tc>
        <w:tc>
          <w:tcPr>
            <w:tcW w:w="1169" w:type="pct"/>
          </w:tcPr>
          <w:p w14:paraId="2E3F63EF" w14:textId="77777777" w:rsidR="00D22A01" w:rsidRDefault="00D22A01" w:rsidP="009D345B">
            <w:pPr>
              <w:jc w:val="left"/>
              <w:cnfStyle w:val="100000000000" w:firstRow="1" w:lastRow="0" w:firstColumn="0" w:lastColumn="0" w:oddVBand="0" w:evenVBand="0" w:oddHBand="0" w:evenHBand="0" w:firstRowFirstColumn="0" w:firstRowLastColumn="0" w:lastRowFirstColumn="0" w:lastRowLastColumn="0"/>
            </w:pPr>
            <w:r>
              <w:t>telephone</w:t>
            </w:r>
          </w:p>
        </w:tc>
      </w:tr>
      <w:tr w:rsidR="00D22A01" w14:paraId="473ED518" w14:textId="77777777" w:rsidTr="009D345B">
        <w:tc>
          <w:tcPr>
            <w:cnfStyle w:val="001000000000" w:firstRow="0" w:lastRow="0" w:firstColumn="1" w:lastColumn="0" w:oddVBand="0" w:evenVBand="0" w:oddHBand="0" w:evenHBand="0" w:firstRowFirstColumn="0" w:firstRowLastColumn="0" w:lastRowFirstColumn="0" w:lastRowLastColumn="0"/>
            <w:tcW w:w="1516" w:type="pct"/>
          </w:tcPr>
          <w:p w14:paraId="2B50E66F" w14:textId="1B97BD4F" w:rsidR="00D22A01" w:rsidRDefault="006E63FE" w:rsidP="009D345B">
            <w:r>
              <w:t>Barry Jackson &amp; Sarah Cunningham</w:t>
            </w:r>
          </w:p>
        </w:tc>
        <w:tc>
          <w:tcPr>
            <w:tcW w:w="1037" w:type="pct"/>
          </w:tcPr>
          <w:p w14:paraId="59A506B7" w14:textId="178FCDE5" w:rsidR="00D22A01" w:rsidRDefault="00300CDE" w:rsidP="009D345B">
            <w:pPr>
              <w:jc w:val="left"/>
              <w:cnfStyle w:val="000000000000" w:firstRow="0" w:lastRow="0" w:firstColumn="0" w:lastColumn="0" w:oddVBand="0" w:evenVBand="0" w:oddHBand="0" w:evenHBand="0" w:firstRowFirstColumn="0" w:firstRowLastColumn="0" w:lastRowFirstColumn="0" w:lastRowLastColumn="0"/>
            </w:pPr>
            <w:r>
              <w:t>Data Protection Officer</w:t>
            </w:r>
            <w:r w:rsidR="006E63FE">
              <w:t>s</w:t>
            </w:r>
          </w:p>
        </w:tc>
        <w:tc>
          <w:tcPr>
            <w:tcW w:w="1277" w:type="pct"/>
          </w:tcPr>
          <w:p w14:paraId="2AFF84E1" w14:textId="38CC5364" w:rsidR="00D22A01" w:rsidRDefault="006E63FE" w:rsidP="009D345B">
            <w:pPr>
              <w:jc w:val="left"/>
              <w:cnfStyle w:val="000000000000" w:firstRow="0" w:lastRow="0" w:firstColumn="0" w:lastColumn="0" w:oddVBand="0" w:evenVBand="0" w:oddHBand="0" w:evenHBand="0" w:firstRowFirstColumn="0" w:firstRowLastColumn="0" w:lastRowFirstColumn="0" w:lastRowLastColumn="0"/>
            </w:pPr>
            <w:r>
              <w:t>N3i.dpo@nhs.net</w:t>
            </w:r>
          </w:p>
        </w:tc>
        <w:tc>
          <w:tcPr>
            <w:tcW w:w="1169" w:type="pct"/>
          </w:tcPr>
          <w:p w14:paraId="279982E2" w14:textId="0ACE050E" w:rsidR="00D22A01" w:rsidRDefault="006E63FE" w:rsidP="009D345B">
            <w:pPr>
              <w:jc w:val="left"/>
              <w:cnfStyle w:val="000000000000" w:firstRow="0" w:lastRow="0" w:firstColumn="0" w:lastColumn="0" w:oddVBand="0" w:evenVBand="0" w:oddHBand="0" w:evenHBand="0" w:firstRowFirstColumn="0" w:firstRowLastColumn="0" w:lastRowFirstColumn="0" w:lastRowLastColumn="0"/>
            </w:pPr>
            <w:r>
              <w:t>0300 002 0001</w:t>
            </w:r>
          </w:p>
        </w:tc>
      </w:tr>
    </w:tbl>
    <w:p w14:paraId="5081CE03" w14:textId="77777777" w:rsidR="00D22A01" w:rsidRDefault="00D22A01" w:rsidP="00D22A01">
      <w:pPr>
        <w:pStyle w:val="Heading2"/>
      </w:pPr>
      <w:r>
        <w:t>General practice address</w:t>
      </w:r>
    </w:p>
    <w:p w14:paraId="1EC93032" w14:textId="6C1A8F5A" w:rsidR="00227310" w:rsidRDefault="00227310">
      <w:pPr>
        <w:pStyle w:val="CompanyInfo"/>
      </w:pPr>
      <w:r>
        <w:t xml:space="preserve">Mrs </w:t>
      </w:r>
      <w:r w:rsidR="00EE6FD5">
        <w:t>Michaela Varley,</w:t>
      </w:r>
      <w:r>
        <w:t xml:space="preserve"> Practice Manager</w:t>
      </w:r>
    </w:p>
    <w:p w14:paraId="274A9F3E" w14:textId="77777777" w:rsidR="00227310" w:rsidRDefault="00227310">
      <w:pPr>
        <w:pStyle w:val="CompanyInfo"/>
      </w:pPr>
      <w:r>
        <w:t>Ayton and Snainton Medical Practice, Pickering Road, West Ayton, Scarborough, YO13 9JF</w:t>
      </w:r>
    </w:p>
    <w:p w14:paraId="74CBE663" w14:textId="77777777" w:rsidR="00805D6D" w:rsidRDefault="00AE0230">
      <w:pPr>
        <w:pStyle w:val="CompanyInfo"/>
      </w:pPr>
      <w:sdt>
        <w:sdtPr>
          <w:rPr>
            <w:b/>
          </w:rPr>
          <w:id w:val="471335889"/>
          <w:temporary/>
          <w:showingPlcHdr/>
          <w:text/>
        </w:sdtPr>
        <w:sdtEndPr/>
        <w:sdtContent>
          <w:r w:rsidR="00027B3F" w:rsidRPr="001D0D73">
            <w:rPr>
              <w:b/>
            </w:rPr>
            <w:t>Website</w:t>
          </w:r>
        </w:sdtContent>
      </w:sdt>
      <w:r w:rsidR="001D0D73" w:rsidRPr="001D0D73">
        <w:rPr>
          <w:b/>
        </w:rPr>
        <w:t>:</w:t>
      </w:r>
      <w:r w:rsidR="00227310">
        <w:t xml:space="preserve"> </w:t>
      </w:r>
      <w:hyperlink r:id="rId25" w:history="1">
        <w:r w:rsidR="00227310" w:rsidRPr="0049661C">
          <w:rPr>
            <w:rStyle w:val="Hyperlink"/>
          </w:rPr>
          <w:t>www.ayton-snainton.co.uk</w:t>
        </w:r>
      </w:hyperlink>
    </w:p>
    <w:p w14:paraId="4D524E23" w14:textId="77777777" w:rsidR="00AB348B" w:rsidRDefault="00AB348B" w:rsidP="00AB348B">
      <w:pPr>
        <w:pStyle w:val="Heading2"/>
      </w:pPr>
      <w:r>
        <w:t>Complaints</w:t>
      </w:r>
    </w:p>
    <w:p w14:paraId="698C7D63" w14:textId="77777777" w:rsidR="00AB348B" w:rsidRDefault="00AB348B" w:rsidP="00AB348B">
      <w:r w:rsidRPr="00DE5CDA">
        <w:t xml:space="preserve">Should you have any concerns about how your </w:t>
      </w:r>
      <w:r>
        <w:t xml:space="preserve">personal </w:t>
      </w:r>
      <w:r w:rsidRPr="00DE5CDA">
        <w:t xml:space="preserve">information is managed by </w:t>
      </w:r>
      <w:r>
        <w:t>our General</w:t>
      </w:r>
      <w:r w:rsidRPr="00DE5CDA">
        <w:t xml:space="preserve"> Practice please contact the Practice M</w:t>
      </w:r>
      <w:r>
        <w:t xml:space="preserve">anager at the address shown above. </w:t>
      </w:r>
      <w:r w:rsidRPr="00DE5CDA">
        <w:t xml:space="preserve">If you are still unhappy following a review by </w:t>
      </w:r>
      <w:r>
        <w:t>our</w:t>
      </w:r>
      <w:r w:rsidRPr="00DE5CDA">
        <w:t xml:space="preserve"> </w:t>
      </w:r>
      <w:r>
        <w:t>p</w:t>
      </w:r>
      <w:r w:rsidRPr="00DE5CDA">
        <w:t xml:space="preserve">ractice you can then complain </w:t>
      </w:r>
      <w:r>
        <w:t xml:space="preserve">directly </w:t>
      </w:r>
      <w:r w:rsidRPr="00DE5CDA">
        <w:t>to the Informa</w:t>
      </w:r>
      <w:r>
        <w:t>tion Commissioners Office (ICO):</w:t>
      </w:r>
    </w:p>
    <w:p w14:paraId="4DB335A7" w14:textId="77777777" w:rsidR="000236E8" w:rsidRDefault="00AB348B" w:rsidP="005C0C7C">
      <w:pPr>
        <w:spacing w:after="0"/>
        <w:rPr>
          <w:sz w:val="18"/>
          <w:szCs w:val="18"/>
        </w:rPr>
      </w:pPr>
      <w:r w:rsidRPr="00E311EC">
        <w:rPr>
          <w:b/>
          <w:sz w:val="18"/>
          <w:szCs w:val="18"/>
        </w:rPr>
        <w:t>Web</w:t>
      </w:r>
      <w:r w:rsidR="00E311EC" w:rsidRPr="00E311EC">
        <w:rPr>
          <w:b/>
          <w:sz w:val="18"/>
          <w:szCs w:val="18"/>
        </w:rPr>
        <w:t>site</w:t>
      </w:r>
      <w:r w:rsidRPr="00E311EC">
        <w:rPr>
          <w:b/>
          <w:sz w:val="18"/>
          <w:szCs w:val="18"/>
        </w:rPr>
        <w:t>:</w:t>
      </w:r>
      <w:r w:rsidRPr="00E311EC">
        <w:rPr>
          <w:sz w:val="18"/>
          <w:szCs w:val="18"/>
        </w:rPr>
        <w:t xml:space="preserve"> </w:t>
      </w:r>
      <w:hyperlink r:id="rId26" w:history="1">
        <w:r w:rsidRPr="00E311EC">
          <w:rPr>
            <w:rStyle w:val="Hyperlink"/>
            <w:sz w:val="18"/>
            <w:szCs w:val="18"/>
          </w:rPr>
          <w:t>www.ico.org.uk</w:t>
        </w:r>
      </w:hyperlink>
      <w:r w:rsidR="000236E8" w:rsidRPr="00E311EC">
        <w:rPr>
          <w:rStyle w:val="Hyperlink"/>
          <w:sz w:val="18"/>
          <w:szCs w:val="18"/>
          <w:u w:val="none"/>
        </w:rPr>
        <w:t xml:space="preserve">   </w:t>
      </w:r>
      <w:r w:rsidRPr="00E311EC">
        <w:rPr>
          <w:b/>
          <w:sz w:val="18"/>
          <w:szCs w:val="18"/>
        </w:rPr>
        <w:t>Email</w:t>
      </w:r>
      <w:r w:rsidR="005C0C7C" w:rsidRPr="00E311EC">
        <w:rPr>
          <w:b/>
          <w:sz w:val="18"/>
          <w:szCs w:val="18"/>
        </w:rPr>
        <w:t>:</w:t>
      </w:r>
      <w:r w:rsidRPr="00E311EC">
        <w:rPr>
          <w:sz w:val="18"/>
          <w:szCs w:val="18"/>
        </w:rPr>
        <w:t xml:space="preserve"> </w:t>
      </w:r>
      <w:hyperlink r:id="rId27" w:history="1">
        <w:r w:rsidRPr="00E311EC">
          <w:rPr>
            <w:rStyle w:val="Hyperlink"/>
            <w:sz w:val="18"/>
            <w:szCs w:val="18"/>
          </w:rPr>
          <w:t>casework@ico.org.uk</w:t>
        </w:r>
      </w:hyperlink>
      <w:r w:rsidR="000236E8" w:rsidRPr="00E311EC">
        <w:rPr>
          <w:rStyle w:val="Hyperlink"/>
          <w:sz w:val="18"/>
          <w:szCs w:val="18"/>
          <w:u w:val="none"/>
        </w:rPr>
        <w:t xml:space="preserve">   </w:t>
      </w:r>
      <w:r w:rsidRPr="00E311EC">
        <w:rPr>
          <w:b/>
          <w:sz w:val="18"/>
          <w:szCs w:val="18"/>
        </w:rPr>
        <w:t>Tel:</w:t>
      </w:r>
      <w:r w:rsidRPr="00E311EC">
        <w:rPr>
          <w:sz w:val="18"/>
          <w:szCs w:val="18"/>
        </w:rPr>
        <w:t xml:space="preserve"> 0303 1231113 (local rate) or 01625 545745</w:t>
      </w:r>
    </w:p>
    <w:p w14:paraId="6F1E16B7" w14:textId="77777777" w:rsidR="00E311EC" w:rsidRPr="00E311EC" w:rsidRDefault="00E311EC" w:rsidP="005C0C7C">
      <w:pPr>
        <w:spacing w:after="0"/>
        <w:rPr>
          <w:sz w:val="18"/>
          <w:szCs w:val="18"/>
        </w:rPr>
      </w:pPr>
    </w:p>
    <w:p w14:paraId="705A5C85" w14:textId="77777777" w:rsidR="000236E8" w:rsidRDefault="000236E8" w:rsidP="005C0C7C">
      <w:pPr>
        <w:spacing w:after="0"/>
      </w:pPr>
      <w:r w:rsidRPr="00E311EC">
        <w:t>Note: Our Practice has no control over other websites that we may link to. We make no representations or warranties of any kind, express or implied, about the completeness, accuracy, reliability, suitability or availability with respect to those websites or the information contained within them.</w:t>
      </w:r>
      <w:r w:rsidR="00F154EC">
        <w:tab/>
      </w:r>
    </w:p>
    <w:p w14:paraId="559C45D6" w14:textId="77777777" w:rsidR="00F154EC" w:rsidRDefault="00F154EC" w:rsidP="005C0C7C">
      <w:pPr>
        <w:spacing w:after="0"/>
      </w:pPr>
    </w:p>
    <w:p w14:paraId="673015C1" w14:textId="77777777" w:rsidR="00F154EC" w:rsidRDefault="00F154EC" w:rsidP="005C0C7C">
      <w:pPr>
        <w:spacing w:after="0"/>
      </w:pPr>
    </w:p>
    <w:p w14:paraId="361BA89D" w14:textId="77777777" w:rsidR="00743256" w:rsidRPr="00743256" w:rsidRDefault="00743256">
      <w:pPr>
        <w:rPr>
          <w:b/>
        </w:rPr>
      </w:pPr>
      <w:r w:rsidRPr="00743256">
        <w:rPr>
          <w:b/>
        </w:rPr>
        <w:lastRenderedPageBreak/>
        <w:t>Appendix 1</w:t>
      </w:r>
    </w:p>
    <w:p w14:paraId="28637D0B" w14:textId="77777777" w:rsidR="00743256" w:rsidRPr="00743256" w:rsidRDefault="00743256" w:rsidP="00743256">
      <w:pPr>
        <w:tabs>
          <w:tab w:val="left" w:pos="7561"/>
        </w:tabs>
        <w:spacing w:after="0"/>
        <w:jc w:val="center"/>
        <w:rPr>
          <w:rFonts w:cs="Mongolian Baiti"/>
          <w:color w:val="auto"/>
          <w:sz w:val="40"/>
          <w:szCs w:val="40"/>
        </w:rPr>
      </w:pPr>
      <w:r w:rsidRPr="00743256">
        <w:rPr>
          <w:rFonts w:cs="Mongolian Baiti"/>
          <w:color w:val="auto"/>
          <w:sz w:val="40"/>
          <w:szCs w:val="40"/>
        </w:rPr>
        <w:t xml:space="preserve">Patient Privacy Notice </w:t>
      </w:r>
    </w:p>
    <w:p w14:paraId="0BC0DE80" w14:textId="77777777" w:rsidR="00743256" w:rsidRPr="00743256" w:rsidRDefault="00743256" w:rsidP="00743256">
      <w:pPr>
        <w:tabs>
          <w:tab w:val="left" w:pos="7561"/>
        </w:tabs>
        <w:spacing w:after="0"/>
        <w:jc w:val="center"/>
        <w:rPr>
          <w:rFonts w:cs="Mongolian Baiti"/>
          <w:color w:val="auto"/>
        </w:rPr>
      </w:pPr>
    </w:p>
    <w:p w14:paraId="01247D44" w14:textId="77777777" w:rsidR="00743256" w:rsidRPr="00743256" w:rsidRDefault="00743256" w:rsidP="00743256">
      <w:pPr>
        <w:pStyle w:val="NormalWeb"/>
        <w:rPr>
          <w:rFonts w:asciiTheme="minorHAnsi" w:hAnsiTheme="minorHAnsi" w:cs="Mongolian Baiti"/>
          <w:color w:val="auto"/>
          <w:sz w:val="20"/>
        </w:rPr>
      </w:pPr>
      <w:r w:rsidRPr="00743256">
        <w:rPr>
          <w:rStyle w:val="Strong"/>
          <w:rFonts w:asciiTheme="minorHAnsi" w:hAnsiTheme="minorHAnsi" w:cs="Mongolian Baiti"/>
          <w:b w:val="0"/>
          <w:bCs w:val="0"/>
          <w:color w:val="auto"/>
          <w:sz w:val="20"/>
        </w:rPr>
        <w:t>Access to patient records by General Practice Solutions (GPS) on behalf of Ayton &amp; Snainton Medical Practice.</w:t>
      </w:r>
    </w:p>
    <w:p w14:paraId="6FE645FC" w14:textId="77777777" w:rsidR="00743256" w:rsidRPr="00743256" w:rsidRDefault="00743256" w:rsidP="00743256">
      <w:pPr>
        <w:pStyle w:val="NormalWeb"/>
        <w:rPr>
          <w:rFonts w:asciiTheme="minorHAnsi" w:hAnsiTheme="minorHAnsi" w:cs="Mongolian Baiti"/>
          <w:color w:val="auto"/>
          <w:sz w:val="20"/>
        </w:rPr>
      </w:pPr>
      <w:r w:rsidRPr="00743256">
        <w:rPr>
          <w:rFonts w:asciiTheme="minorHAnsi" w:hAnsiTheme="minorHAnsi" w:cs="Mongolian Baiti"/>
          <w:color w:val="auto"/>
          <w:sz w:val="20"/>
        </w:rPr>
        <w:t xml:space="preserve">Your privacy is of utmost importance to us. As your primary care organisation, we are committed to protecting your personal data and ensuring it is handled securely and transparently. </w:t>
      </w:r>
    </w:p>
    <w:p w14:paraId="7017BBCC" w14:textId="77777777" w:rsidR="00743256" w:rsidRPr="00743256" w:rsidRDefault="00743256" w:rsidP="00743256">
      <w:pPr>
        <w:pStyle w:val="NormalWeb"/>
        <w:rPr>
          <w:rFonts w:asciiTheme="minorHAnsi" w:hAnsiTheme="minorHAnsi" w:cs="Mongolian Baiti"/>
          <w:color w:val="auto"/>
          <w:sz w:val="20"/>
        </w:rPr>
      </w:pPr>
      <w:r w:rsidRPr="00743256">
        <w:rPr>
          <w:rFonts w:asciiTheme="minorHAnsi" w:hAnsiTheme="minorHAnsi" w:cs="Mongolian Baiti"/>
          <w:color w:val="auto"/>
          <w:sz w:val="20"/>
        </w:rPr>
        <w:t>To enhance our ability to deliver high-quality healthcare services, we have engaged General Practice Solutions (GPS), a trusted specialist provider, to assist with the management, summarisation, and coding of patient records and clinical correspondence. This notice outlines how GPS, acting on our behalf, will process your personal data, the purposes for which this is necessary, and your rights under UK data protection law.</w:t>
      </w:r>
    </w:p>
    <w:p w14:paraId="598C7206" w14:textId="77777777" w:rsidR="00743256" w:rsidRPr="00743256" w:rsidRDefault="00743256" w:rsidP="00743256">
      <w:pPr>
        <w:pStyle w:val="Heading3"/>
        <w:rPr>
          <w:rStyle w:val="Strong"/>
          <w:rFonts w:asciiTheme="minorHAnsi" w:hAnsiTheme="minorHAnsi" w:cs="Mongolian Baiti"/>
          <w:b w:val="0"/>
          <w:bCs w:val="0"/>
          <w:color w:val="auto"/>
          <w:sz w:val="20"/>
          <w:szCs w:val="20"/>
        </w:rPr>
      </w:pPr>
      <w:r w:rsidRPr="00743256">
        <w:rPr>
          <w:rStyle w:val="Strong"/>
          <w:rFonts w:asciiTheme="minorHAnsi" w:hAnsiTheme="minorHAnsi" w:cs="Mongolian Baiti"/>
          <w:b w:val="0"/>
          <w:bCs w:val="0"/>
          <w:color w:val="auto"/>
          <w:sz w:val="20"/>
          <w:szCs w:val="20"/>
        </w:rPr>
        <w:t>Who we are.</w:t>
      </w:r>
    </w:p>
    <w:p w14:paraId="7BFF4630" w14:textId="77777777" w:rsidR="00743256" w:rsidRPr="00743256" w:rsidRDefault="00743256" w:rsidP="00743256">
      <w:pPr>
        <w:pStyle w:val="Heading3"/>
        <w:rPr>
          <w:rFonts w:asciiTheme="minorHAnsi" w:hAnsiTheme="minorHAnsi" w:cs="Mongolian Baiti"/>
          <w:color w:val="auto"/>
          <w:sz w:val="20"/>
          <w:szCs w:val="20"/>
        </w:rPr>
      </w:pPr>
      <w:r w:rsidRPr="00743256">
        <w:rPr>
          <w:rStyle w:val="Strong"/>
          <w:rFonts w:asciiTheme="minorHAnsi" w:hAnsiTheme="minorHAnsi" w:cs="Mongolian Baiti"/>
          <w:b w:val="0"/>
          <w:bCs w:val="0"/>
          <w:color w:val="auto"/>
          <w:sz w:val="20"/>
          <w:szCs w:val="20"/>
        </w:rPr>
        <w:t xml:space="preserve">Ayton &amp; Snainton Medical Practice </w:t>
      </w:r>
      <w:r w:rsidRPr="00743256">
        <w:rPr>
          <w:rFonts w:asciiTheme="minorHAnsi" w:hAnsiTheme="minorHAnsi" w:cs="Mongolian Baiti"/>
          <w:color w:val="auto"/>
          <w:sz w:val="20"/>
          <w:szCs w:val="20"/>
        </w:rPr>
        <w:t>is responsible for providing your primary healthcare services. To support us in delivering the best possible care, we have authorised GPS to access, review, and accurately code patient records and correspondence. GPS acts as a data processor on our behalf, while we remain the data controller for all patient information, accountable for its protection and appropriate use.</w:t>
      </w:r>
    </w:p>
    <w:p w14:paraId="0B34A2DE" w14:textId="77777777" w:rsidR="00743256" w:rsidRPr="00743256" w:rsidRDefault="00743256" w:rsidP="00743256">
      <w:pPr>
        <w:rPr>
          <w:rFonts w:cs="Mongolian Baiti"/>
          <w:color w:val="auto"/>
        </w:rPr>
      </w:pPr>
    </w:p>
    <w:p w14:paraId="7D58C2D6" w14:textId="77777777" w:rsidR="00743256" w:rsidRPr="00743256" w:rsidRDefault="00743256" w:rsidP="00743256">
      <w:pPr>
        <w:pStyle w:val="Heading3"/>
        <w:rPr>
          <w:rStyle w:val="Strong"/>
          <w:rFonts w:asciiTheme="minorHAnsi" w:hAnsiTheme="minorHAnsi" w:cs="Mongolian Baiti"/>
          <w:b w:val="0"/>
          <w:bCs w:val="0"/>
          <w:color w:val="auto"/>
          <w:sz w:val="20"/>
          <w:szCs w:val="20"/>
        </w:rPr>
      </w:pPr>
      <w:r w:rsidRPr="00743256">
        <w:rPr>
          <w:rStyle w:val="Strong"/>
          <w:rFonts w:asciiTheme="minorHAnsi" w:hAnsiTheme="minorHAnsi" w:cs="Mongolian Baiti"/>
          <w:b w:val="0"/>
          <w:bCs w:val="0"/>
          <w:color w:val="auto"/>
          <w:sz w:val="20"/>
          <w:szCs w:val="20"/>
        </w:rPr>
        <w:t>What information GPS will access.</w:t>
      </w:r>
    </w:p>
    <w:p w14:paraId="513781AE" w14:textId="77777777" w:rsidR="00743256" w:rsidRPr="00743256" w:rsidRDefault="00743256" w:rsidP="00743256">
      <w:pPr>
        <w:pStyle w:val="Heading3"/>
        <w:rPr>
          <w:rFonts w:asciiTheme="minorHAnsi" w:hAnsiTheme="minorHAnsi" w:cs="Mongolian Baiti"/>
          <w:color w:val="auto"/>
          <w:sz w:val="20"/>
          <w:szCs w:val="20"/>
        </w:rPr>
      </w:pPr>
      <w:r w:rsidRPr="00743256">
        <w:rPr>
          <w:rFonts w:asciiTheme="minorHAnsi" w:hAnsiTheme="minorHAnsi" w:cs="Mongolian Baiti"/>
          <w:color w:val="auto"/>
          <w:sz w:val="20"/>
          <w:szCs w:val="20"/>
        </w:rPr>
        <w:t>To fulfil their role in supporting our organisation, GPS may access and process the following types of personal data.</w:t>
      </w:r>
    </w:p>
    <w:p w14:paraId="5976C674" w14:textId="77777777" w:rsidR="00743256" w:rsidRPr="00743256" w:rsidRDefault="00743256" w:rsidP="00743256">
      <w:pPr>
        <w:pStyle w:val="Heading3"/>
        <w:numPr>
          <w:ilvl w:val="0"/>
          <w:numId w:val="45"/>
        </w:numPr>
        <w:suppressAutoHyphens/>
        <w:autoSpaceDN w:val="0"/>
        <w:spacing w:line="240" w:lineRule="auto"/>
        <w:rPr>
          <w:rFonts w:asciiTheme="minorHAnsi" w:hAnsiTheme="minorHAnsi" w:cs="Mongolian Baiti"/>
          <w:color w:val="auto"/>
          <w:sz w:val="20"/>
          <w:szCs w:val="20"/>
        </w:rPr>
      </w:pPr>
      <w:r w:rsidRPr="00743256">
        <w:rPr>
          <w:rStyle w:val="Strong"/>
          <w:rFonts w:asciiTheme="minorHAnsi" w:hAnsiTheme="minorHAnsi" w:cs="Mongolian Baiti"/>
          <w:b w:val="0"/>
          <w:bCs w:val="0"/>
          <w:color w:val="auto"/>
          <w:sz w:val="20"/>
          <w:szCs w:val="20"/>
        </w:rPr>
        <w:t>Medical records</w:t>
      </w:r>
      <w:r w:rsidRPr="00743256">
        <w:rPr>
          <w:rFonts w:asciiTheme="minorHAnsi" w:hAnsiTheme="minorHAnsi" w:cs="Mongolian Baiti"/>
          <w:color w:val="auto"/>
          <w:sz w:val="20"/>
          <w:szCs w:val="20"/>
        </w:rPr>
        <w:t xml:space="preserve">. </w:t>
      </w:r>
    </w:p>
    <w:p w14:paraId="3CA82C9A" w14:textId="77777777" w:rsidR="00743256" w:rsidRPr="00743256" w:rsidRDefault="00743256" w:rsidP="00743256">
      <w:pPr>
        <w:pStyle w:val="Heading3"/>
        <w:ind w:left="720"/>
        <w:rPr>
          <w:rFonts w:asciiTheme="minorHAnsi" w:hAnsiTheme="minorHAnsi" w:cs="Mongolian Baiti"/>
          <w:color w:val="auto"/>
          <w:sz w:val="20"/>
          <w:szCs w:val="20"/>
        </w:rPr>
      </w:pPr>
      <w:r w:rsidRPr="00743256">
        <w:rPr>
          <w:rFonts w:asciiTheme="minorHAnsi" w:hAnsiTheme="minorHAnsi" w:cs="Mongolian Baiti"/>
          <w:color w:val="auto"/>
          <w:sz w:val="20"/>
          <w:szCs w:val="20"/>
        </w:rPr>
        <w:t>Details of your medical history, including past and current diagnoses, treatments, medications, allergies, immunisations, test results, and any relevant health conditions.</w:t>
      </w:r>
    </w:p>
    <w:p w14:paraId="1AC3EF55" w14:textId="77777777" w:rsidR="00743256" w:rsidRPr="00743256" w:rsidRDefault="00743256" w:rsidP="00743256">
      <w:pPr>
        <w:pStyle w:val="Heading3"/>
        <w:numPr>
          <w:ilvl w:val="0"/>
          <w:numId w:val="45"/>
        </w:numPr>
        <w:suppressAutoHyphens/>
        <w:autoSpaceDN w:val="0"/>
        <w:spacing w:line="240" w:lineRule="auto"/>
        <w:rPr>
          <w:rFonts w:asciiTheme="minorHAnsi" w:hAnsiTheme="minorHAnsi" w:cs="Mongolian Baiti"/>
          <w:color w:val="auto"/>
          <w:sz w:val="20"/>
          <w:szCs w:val="20"/>
        </w:rPr>
      </w:pPr>
      <w:r w:rsidRPr="00743256">
        <w:rPr>
          <w:rStyle w:val="Strong"/>
          <w:rFonts w:asciiTheme="minorHAnsi" w:hAnsiTheme="minorHAnsi" w:cs="Mongolian Baiti"/>
          <w:b w:val="0"/>
          <w:bCs w:val="0"/>
          <w:color w:val="auto"/>
          <w:sz w:val="20"/>
          <w:szCs w:val="20"/>
        </w:rPr>
        <w:t>Clinical correspondence</w:t>
      </w:r>
      <w:r w:rsidRPr="00743256">
        <w:rPr>
          <w:rFonts w:asciiTheme="minorHAnsi" w:hAnsiTheme="minorHAnsi" w:cs="Mongolian Baiti"/>
          <w:color w:val="auto"/>
          <w:sz w:val="20"/>
          <w:szCs w:val="20"/>
        </w:rPr>
        <w:t xml:space="preserve">. </w:t>
      </w:r>
    </w:p>
    <w:p w14:paraId="69C14C1E" w14:textId="77777777" w:rsidR="00743256" w:rsidRPr="00743256" w:rsidRDefault="00743256" w:rsidP="00743256">
      <w:pPr>
        <w:pStyle w:val="Heading3"/>
        <w:ind w:left="720"/>
        <w:rPr>
          <w:rFonts w:asciiTheme="minorHAnsi" w:hAnsiTheme="minorHAnsi" w:cs="Mongolian Baiti"/>
          <w:color w:val="auto"/>
          <w:sz w:val="20"/>
          <w:szCs w:val="20"/>
        </w:rPr>
      </w:pPr>
      <w:r w:rsidRPr="00743256">
        <w:rPr>
          <w:rFonts w:asciiTheme="minorHAnsi" w:hAnsiTheme="minorHAnsi" w:cs="Mongolian Baiti"/>
          <w:color w:val="auto"/>
          <w:sz w:val="20"/>
          <w:szCs w:val="20"/>
        </w:rPr>
        <w:t>Communications such as referral letters, discharge summaries, specialist reports, and other documentation related to your care.</w:t>
      </w:r>
    </w:p>
    <w:p w14:paraId="37921C9A" w14:textId="77777777" w:rsidR="00743256" w:rsidRPr="00743256" w:rsidRDefault="00743256" w:rsidP="00743256">
      <w:pPr>
        <w:pStyle w:val="Heading3"/>
        <w:numPr>
          <w:ilvl w:val="0"/>
          <w:numId w:val="45"/>
        </w:numPr>
        <w:suppressAutoHyphens/>
        <w:autoSpaceDN w:val="0"/>
        <w:spacing w:line="240" w:lineRule="auto"/>
        <w:rPr>
          <w:rFonts w:asciiTheme="minorHAnsi" w:hAnsiTheme="minorHAnsi" w:cs="Mongolian Baiti"/>
          <w:color w:val="auto"/>
          <w:sz w:val="20"/>
          <w:szCs w:val="20"/>
        </w:rPr>
      </w:pPr>
      <w:r w:rsidRPr="00743256">
        <w:rPr>
          <w:rStyle w:val="Strong"/>
          <w:rFonts w:asciiTheme="minorHAnsi" w:hAnsiTheme="minorHAnsi" w:cs="Mongolian Baiti"/>
          <w:b w:val="0"/>
          <w:bCs w:val="0"/>
          <w:color w:val="auto"/>
          <w:sz w:val="20"/>
          <w:szCs w:val="20"/>
        </w:rPr>
        <w:t>Demographic information</w:t>
      </w:r>
      <w:r w:rsidRPr="00743256">
        <w:rPr>
          <w:rFonts w:asciiTheme="minorHAnsi" w:hAnsiTheme="minorHAnsi" w:cs="Mongolian Baiti"/>
          <w:color w:val="auto"/>
          <w:sz w:val="20"/>
          <w:szCs w:val="20"/>
        </w:rPr>
        <w:t xml:space="preserve">. </w:t>
      </w:r>
    </w:p>
    <w:p w14:paraId="7B600387" w14:textId="77777777" w:rsidR="00743256" w:rsidRPr="00743256" w:rsidRDefault="00743256" w:rsidP="00743256">
      <w:pPr>
        <w:pStyle w:val="Heading3"/>
        <w:ind w:left="720"/>
        <w:rPr>
          <w:rFonts w:asciiTheme="minorHAnsi" w:hAnsiTheme="minorHAnsi" w:cs="Mongolian Baiti"/>
          <w:color w:val="auto"/>
          <w:sz w:val="20"/>
          <w:szCs w:val="20"/>
        </w:rPr>
      </w:pPr>
      <w:r w:rsidRPr="00743256">
        <w:rPr>
          <w:rFonts w:asciiTheme="minorHAnsi" w:hAnsiTheme="minorHAnsi" w:cs="Mongolian Baiti"/>
          <w:color w:val="auto"/>
          <w:sz w:val="20"/>
          <w:szCs w:val="20"/>
        </w:rPr>
        <w:t>Your name, date of birth, NHS number, address, contact details, next of kin, ethnicity, first language, sexual orientation, gender identity, and other relevant demographic data.</w:t>
      </w:r>
    </w:p>
    <w:p w14:paraId="2D744C1A" w14:textId="77777777" w:rsidR="00743256" w:rsidRPr="00743256" w:rsidRDefault="00743256" w:rsidP="00743256">
      <w:pPr>
        <w:pStyle w:val="ListParagraph"/>
        <w:numPr>
          <w:ilvl w:val="0"/>
          <w:numId w:val="45"/>
        </w:numPr>
        <w:spacing w:before="0" w:after="0" w:line="240" w:lineRule="auto"/>
        <w:rPr>
          <w:rFonts w:cs="Mongolian Baiti"/>
          <w:color w:val="auto"/>
        </w:rPr>
      </w:pPr>
      <w:r w:rsidRPr="00743256">
        <w:rPr>
          <w:rStyle w:val="Strong"/>
          <w:rFonts w:cs="Mongolian Baiti"/>
          <w:b w:val="0"/>
          <w:bCs w:val="0"/>
          <w:color w:val="auto"/>
        </w:rPr>
        <w:t>Preventive health information</w:t>
      </w:r>
      <w:r w:rsidRPr="00743256">
        <w:rPr>
          <w:rFonts w:cs="Mongolian Baiti"/>
          <w:color w:val="auto"/>
        </w:rPr>
        <w:t xml:space="preserve">. </w:t>
      </w:r>
    </w:p>
    <w:p w14:paraId="6198573D" w14:textId="77777777" w:rsidR="00743256" w:rsidRPr="00743256" w:rsidRDefault="00743256" w:rsidP="00743256">
      <w:pPr>
        <w:pStyle w:val="ListParagraph"/>
        <w:rPr>
          <w:rFonts w:cs="Mongolian Baiti"/>
          <w:color w:val="auto"/>
        </w:rPr>
      </w:pPr>
      <w:r w:rsidRPr="00743256">
        <w:rPr>
          <w:rFonts w:cs="Mongolian Baiti"/>
          <w:color w:val="auto"/>
        </w:rPr>
        <w:t>Data related to preventive screenings, recall dates, and vaccination history to ensure proactive patient management.</w:t>
      </w:r>
    </w:p>
    <w:p w14:paraId="2C57982D" w14:textId="77777777" w:rsidR="00743256" w:rsidRPr="00743256" w:rsidRDefault="00743256" w:rsidP="00743256">
      <w:pPr>
        <w:pStyle w:val="ListParagraph"/>
        <w:numPr>
          <w:ilvl w:val="0"/>
          <w:numId w:val="45"/>
        </w:numPr>
        <w:spacing w:before="0" w:after="0" w:line="240" w:lineRule="auto"/>
        <w:rPr>
          <w:rFonts w:cs="Mongolian Baiti"/>
          <w:color w:val="auto"/>
        </w:rPr>
      </w:pPr>
      <w:r w:rsidRPr="00743256">
        <w:rPr>
          <w:rStyle w:val="Strong"/>
          <w:rFonts w:cs="Mongolian Baiti"/>
          <w:b w:val="0"/>
          <w:bCs w:val="0"/>
          <w:color w:val="auto"/>
        </w:rPr>
        <w:t>Lifestyle information</w:t>
      </w:r>
      <w:r w:rsidRPr="00743256">
        <w:rPr>
          <w:rFonts w:cs="Mongolian Baiti"/>
          <w:color w:val="auto"/>
        </w:rPr>
        <w:t xml:space="preserve">. </w:t>
      </w:r>
    </w:p>
    <w:p w14:paraId="3775C818" w14:textId="77777777" w:rsidR="00743256" w:rsidRPr="00743256" w:rsidRDefault="00743256" w:rsidP="00743256">
      <w:pPr>
        <w:pStyle w:val="ListParagraph"/>
        <w:rPr>
          <w:rFonts w:cs="Mongolian Baiti"/>
          <w:color w:val="auto"/>
        </w:rPr>
      </w:pPr>
      <w:r w:rsidRPr="00743256">
        <w:rPr>
          <w:rFonts w:cs="Mongolian Baiti"/>
          <w:color w:val="auto"/>
        </w:rPr>
        <w:t>Relevant details about your lifestyle that may impact your health, such as smoking status, alcohol use, and occupation.</w:t>
      </w:r>
    </w:p>
    <w:p w14:paraId="3C8A2114" w14:textId="77777777" w:rsidR="00743256" w:rsidRPr="00743256" w:rsidRDefault="00743256" w:rsidP="00743256">
      <w:pPr>
        <w:spacing w:after="0"/>
        <w:rPr>
          <w:rFonts w:cs="Mongolian Baiti"/>
          <w:color w:val="auto"/>
        </w:rPr>
      </w:pPr>
    </w:p>
    <w:p w14:paraId="1A23C65F" w14:textId="77777777" w:rsidR="00743256" w:rsidRPr="00743256" w:rsidRDefault="00743256" w:rsidP="00743256">
      <w:pPr>
        <w:pStyle w:val="Heading3"/>
        <w:spacing w:before="0"/>
        <w:rPr>
          <w:rStyle w:val="Strong"/>
          <w:rFonts w:asciiTheme="minorHAnsi" w:hAnsiTheme="minorHAnsi" w:cs="Mongolian Baiti"/>
          <w:b w:val="0"/>
          <w:bCs w:val="0"/>
          <w:color w:val="auto"/>
          <w:sz w:val="20"/>
          <w:szCs w:val="20"/>
        </w:rPr>
      </w:pPr>
      <w:r w:rsidRPr="00743256">
        <w:rPr>
          <w:rStyle w:val="Strong"/>
          <w:rFonts w:asciiTheme="minorHAnsi" w:hAnsiTheme="minorHAnsi" w:cs="Mongolian Baiti"/>
          <w:b w:val="0"/>
          <w:bCs w:val="0"/>
          <w:color w:val="auto"/>
          <w:sz w:val="20"/>
          <w:szCs w:val="20"/>
        </w:rPr>
        <w:lastRenderedPageBreak/>
        <w:t>Why GPS needs access to your information.</w:t>
      </w:r>
    </w:p>
    <w:p w14:paraId="697DF6A3" w14:textId="77777777" w:rsidR="00743256" w:rsidRPr="00743256" w:rsidRDefault="00743256" w:rsidP="00743256">
      <w:pPr>
        <w:pStyle w:val="Heading3"/>
        <w:spacing w:before="0"/>
        <w:rPr>
          <w:rFonts w:asciiTheme="minorHAnsi" w:hAnsiTheme="minorHAnsi" w:cs="Mongolian Baiti"/>
          <w:color w:val="auto"/>
          <w:sz w:val="20"/>
          <w:szCs w:val="20"/>
        </w:rPr>
      </w:pPr>
      <w:r w:rsidRPr="00743256">
        <w:rPr>
          <w:rFonts w:asciiTheme="minorHAnsi" w:hAnsiTheme="minorHAnsi" w:cs="Mongolian Baiti"/>
          <w:color w:val="auto"/>
          <w:sz w:val="20"/>
          <w:szCs w:val="20"/>
        </w:rPr>
        <w:t>GPS has been contracted to process your personal data for the following essential purposes.</w:t>
      </w:r>
    </w:p>
    <w:p w14:paraId="206BBA09" w14:textId="77777777" w:rsidR="00743256" w:rsidRPr="00743256" w:rsidRDefault="00743256" w:rsidP="00743256">
      <w:pPr>
        <w:pStyle w:val="ListParagraph"/>
        <w:numPr>
          <w:ilvl w:val="0"/>
          <w:numId w:val="44"/>
        </w:numPr>
        <w:spacing w:before="0" w:after="0" w:line="240" w:lineRule="auto"/>
        <w:rPr>
          <w:rFonts w:cs="Mongolian Baiti"/>
          <w:color w:val="auto"/>
        </w:rPr>
      </w:pPr>
      <w:r w:rsidRPr="00743256">
        <w:rPr>
          <w:rStyle w:val="Strong"/>
          <w:rFonts w:cs="Mongolian Baiti"/>
          <w:b w:val="0"/>
          <w:bCs w:val="0"/>
          <w:color w:val="auto"/>
        </w:rPr>
        <w:t>Accurate summarisation and coding</w:t>
      </w:r>
      <w:r w:rsidRPr="00743256">
        <w:rPr>
          <w:rFonts w:cs="Mongolian Baiti"/>
          <w:color w:val="auto"/>
        </w:rPr>
        <w:t xml:space="preserve">. </w:t>
      </w:r>
    </w:p>
    <w:p w14:paraId="5FCCB78B" w14:textId="77777777" w:rsidR="00743256" w:rsidRPr="00743256" w:rsidRDefault="00743256" w:rsidP="00743256">
      <w:pPr>
        <w:pStyle w:val="ListParagraph"/>
        <w:rPr>
          <w:rFonts w:cs="Mongolian Baiti"/>
          <w:color w:val="auto"/>
        </w:rPr>
      </w:pPr>
      <w:r w:rsidRPr="00743256">
        <w:rPr>
          <w:rFonts w:cs="Mongolian Baiti"/>
          <w:color w:val="auto"/>
        </w:rPr>
        <w:t>To ensure your medical records are accurately summarised and coded, reflecting comprehensive and up-to-date information. This supports effective clinical decision-making, improves care continuity, and ensures data consistency within your records.</w:t>
      </w:r>
    </w:p>
    <w:p w14:paraId="4BAA4C40" w14:textId="77777777" w:rsidR="00743256" w:rsidRPr="00743256" w:rsidRDefault="00743256" w:rsidP="00743256">
      <w:pPr>
        <w:pStyle w:val="ListParagraph"/>
        <w:numPr>
          <w:ilvl w:val="0"/>
          <w:numId w:val="44"/>
        </w:numPr>
        <w:spacing w:before="0" w:after="0" w:line="240" w:lineRule="auto"/>
        <w:rPr>
          <w:rFonts w:cs="Mongolian Baiti"/>
          <w:color w:val="auto"/>
        </w:rPr>
      </w:pPr>
      <w:r w:rsidRPr="00743256">
        <w:rPr>
          <w:rStyle w:val="Strong"/>
          <w:rFonts w:cs="Mongolian Baiti"/>
          <w:b w:val="0"/>
          <w:bCs w:val="0"/>
          <w:color w:val="auto"/>
        </w:rPr>
        <w:t>Review and update of records</w:t>
      </w:r>
      <w:r w:rsidRPr="00743256">
        <w:rPr>
          <w:rFonts w:cs="Mongolian Baiti"/>
          <w:color w:val="auto"/>
        </w:rPr>
        <w:t xml:space="preserve">. </w:t>
      </w:r>
    </w:p>
    <w:p w14:paraId="5F3C1DA6" w14:textId="77777777" w:rsidR="00743256" w:rsidRPr="00743256" w:rsidRDefault="00743256" w:rsidP="00743256">
      <w:pPr>
        <w:pStyle w:val="ListParagraph"/>
        <w:rPr>
          <w:rFonts w:cs="Mongolian Baiti"/>
          <w:color w:val="auto"/>
        </w:rPr>
      </w:pPr>
      <w:r w:rsidRPr="00743256">
        <w:rPr>
          <w:rFonts w:cs="Mongolian Baiti"/>
          <w:color w:val="auto"/>
        </w:rPr>
        <w:t>To review and clarify existing medical records, particularly where they are incomplete or unclear (e.g., handwritten notes). This includes verifying any missing or illegible data by cross-referencing other sources, ensuring the accuracy and completeness of your health information.</w:t>
      </w:r>
    </w:p>
    <w:p w14:paraId="204A4073" w14:textId="77777777" w:rsidR="00743256" w:rsidRPr="00743256" w:rsidRDefault="00743256" w:rsidP="00743256">
      <w:pPr>
        <w:pStyle w:val="ListParagraph"/>
        <w:numPr>
          <w:ilvl w:val="0"/>
          <w:numId w:val="44"/>
        </w:numPr>
        <w:spacing w:before="0" w:after="0" w:line="240" w:lineRule="auto"/>
        <w:rPr>
          <w:rFonts w:cs="Mongolian Baiti"/>
          <w:color w:val="auto"/>
        </w:rPr>
      </w:pPr>
      <w:r w:rsidRPr="00743256">
        <w:rPr>
          <w:rStyle w:val="Strong"/>
          <w:rFonts w:cs="Mongolian Baiti"/>
          <w:b w:val="0"/>
          <w:bCs w:val="0"/>
          <w:color w:val="auto"/>
        </w:rPr>
        <w:t>Coding of clinical correspondence</w:t>
      </w:r>
      <w:r w:rsidRPr="00743256">
        <w:rPr>
          <w:rFonts w:cs="Mongolian Baiti"/>
          <w:color w:val="auto"/>
        </w:rPr>
        <w:t xml:space="preserve">. </w:t>
      </w:r>
    </w:p>
    <w:p w14:paraId="5B9738C5" w14:textId="77777777" w:rsidR="00743256" w:rsidRPr="00743256" w:rsidRDefault="00743256" w:rsidP="00743256">
      <w:pPr>
        <w:pStyle w:val="ListParagraph"/>
        <w:rPr>
          <w:rFonts w:cs="Mongolian Baiti"/>
          <w:color w:val="auto"/>
        </w:rPr>
      </w:pPr>
      <w:r w:rsidRPr="00743256">
        <w:rPr>
          <w:rFonts w:cs="Mongolian Baiti"/>
          <w:color w:val="auto"/>
        </w:rPr>
        <w:t>To accurately code all incoming and outgoing clinical correspondence, such as referral letters, specialist notes, and discharge summaries, ensuring that this information is correctly recorded in your medical records and accessible to healthcare providers involved in your care.</w:t>
      </w:r>
    </w:p>
    <w:p w14:paraId="5369B1DC" w14:textId="77777777" w:rsidR="00743256" w:rsidRPr="00743256" w:rsidRDefault="00743256" w:rsidP="00743256">
      <w:pPr>
        <w:pStyle w:val="ListParagraph"/>
        <w:numPr>
          <w:ilvl w:val="0"/>
          <w:numId w:val="44"/>
        </w:numPr>
        <w:spacing w:before="0" w:after="0" w:line="240" w:lineRule="auto"/>
        <w:rPr>
          <w:rFonts w:cs="Mongolian Baiti"/>
          <w:color w:val="auto"/>
        </w:rPr>
      </w:pPr>
      <w:r w:rsidRPr="00743256">
        <w:rPr>
          <w:rStyle w:val="Strong"/>
          <w:rFonts w:cs="Mongolian Baiti"/>
          <w:b w:val="0"/>
          <w:bCs w:val="0"/>
          <w:color w:val="auto"/>
        </w:rPr>
        <w:t>Maintenance of preventive screening and vaccination data</w:t>
      </w:r>
      <w:r w:rsidRPr="00743256">
        <w:rPr>
          <w:rFonts w:cs="Mongolian Baiti"/>
          <w:color w:val="auto"/>
        </w:rPr>
        <w:t xml:space="preserve">. </w:t>
      </w:r>
    </w:p>
    <w:p w14:paraId="18D92C07" w14:textId="77777777" w:rsidR="00743256" w:rsidRPr="00743256" w:rsidRDefault="00743256" w:rsidP="00743256">
      <w:pPr>
        <w:pStyle w:val="ListParagraph"/>
        <w:rPr>
          <w:rFonts w:cs="Mongolian Baiti"/>
          <w:color w:val="auto"/>
        </w:rPr>
      </w:pPr>
      <w:r w:rsidRPr="00743256">
        <w:rPr>
          <w:rFonts w:cs="Mongolian Baiti"/>
          <w:color w:val="auto"/>
        </w:rPr>
        <w:t>To maintain up-to-date records of preventive screening recall dates and vaccination history, which helps in proactive management and timely patient reminders.</w:t>
      </w:r>
    </w:p>
    <w:p w14:paraId="5E7AB99F" w14:textId="77777777" w:rsidR="00743256" w:rsidRPr="00743256" w:rsidRDefault="00743256" w:rsidP="00743256">
      <w:pPr>
        <w:pStyle w:val="ListParagraph"/>
        <w:numPr>
          <w:ilvl w:val="0"/>
          <w:numId w:val="44"/>
        </w:numPr>
        <w:spacing w:before="0" w:after="0" w:line="240" w:lineRule="auto"/>
        <w:rPr>
          <w:rFonts w:cs="Mongolian Baiti"/>
          <w:color w:val="auto"/>
        </w:rPr>
      </w:pPr>
      <w:r w:rsidRPr="00743256">
        <w:rPr>
          <w:rStyle w:val="Strong"/>
          <w:rFonts w:cs="Mongolian Baiti"/>
          <w:b w:val="0"/>
          <w:bCs w:val="0"/>
          <w:color w:val="auto"/>
        </w:rPr>
        <w:t>Administrative and clinical support</w:t>
      </w:r>
      <w:r w:rsidRPr="00743256">
        <w:rPr>
          <w:rFonts w:cs="Mongolian Baiti"/>
          <w:color w:val="auto"/>
        </w:rPr>
        <w:t xml:space="preserve">. </w:t>
      </w:r>
    </w:p>
    <w:p w14:paraId="252FE1A1" w14:textId="77777777" w:rsidR="00743256" w:rsidRPr="00743256" w:rsidRDefault="00743256" w:rsidP="00743256">
      <w:pPr>
        <w:pStyle w:val="ListParagraph"/>
        <w:rPr>
          <w:rFonts w:cs="Mongolian Baiti"/>
          <w:color w:val="auto"/>
        </w:rPr>
      </w:pPr>
      <w:r w:rsidRPr="00743256">
        <w:rPr>
          <w:rFonts w:cs="Mongolian Baiti"/>
          <w:color w:val="auto"/>
        </w:rPr>
        <w:t>To support the administrative and clinical functions of our practice, ensuring compliance with regulatory requirements such as the Quality and Outcomes Framework (QOF) and other NHS standards.</w:t>
      </w:r>
    </w:p>
    <w:p w14:paraId="38EFA14D" w14:textId="77777777" w:rsidR="00743256" w:rsidRPr="00743256" w:rsidRDefault="00743256" w:rsidP="00743256">
      <w:pPr>
        <w:pStyle w:val="ListParagraph"/>
        <w:rPr>
          <w:rFonts w:cs="Mongolian Baiti"/>
          <w:color w:val="auto"/>
        </w:rPr>
      </w:pPr>
    </w:p>
    <w:p w14:paraId="5C0BC935" w14:textId="77777777" w:rsidR="00743256" w:rsidRPr="00743256" w:rsidRDefault="00743256" w:rsidP="00743256">
      <w:pPr>
        <w:pStyle w:val="Heading3"/>
        <w:spacing w:before="0"/>
        <w:rPr>
          <w:rStyle w:val="Strong"/>
          <w:rFonts w:asciiTheme="minorHAnsi" w:hAnsiTheme="minorHAnsi" w:cs="Mongolian Baiti"/>
          <w:b w:val="0"/>
          <w:bCs w:val="0"/>
          <w:color w:val="auto"/>
          <w:sz w:val="20"/>
          <w:szCs w:val="20"/>
        </w:rPr>
      </w:pPr>
      <w:r w:rsidRPr="00743256">
        <w:rPr>
          <w:rStyle w:val="Strong"/>
          <w:rFonts w:asciiTheme="minorHAnsi" w:hAnsiTheme="minorHAnsi" w:cs="Mongolian Baiti"/>
          <w:b w:val="0"/>
          <w:bCs w:val="0"/>
          <w:color w:val="auto"/>
          <w:sz w:val="20"/>
          <w:szCs w:val="20"/>
        </w:rPr>
        <w:t>How your information is protected.</w:t>
      </w:r>
    </w:p>
    <w:p w14:paraId="4B32E5F9" w14:textId="77777777" w:rsidR="00743256" w:rsidRPr="00743256" w:rsidRDefault="00743256" w:rsidP="00743256">
      <w:pPr>
        <w:pStyle w:val="Heading3"/>
        <w:spacing w:before="0"/>
        <w:rPr>
          <w:rFonts w:asciiTheme="minorHAnsi" w:hAnsiTheme="minorHAnsi" w:cs="Mongolian Baiti"/>
          <w:color w:val="auto"/>
          <w:sz w:val="20"/>
          <w:szCs w:val="20"/>
        </w:rPr>
      </w:pPr>
      <w:r w:rsidRPr="00743256">
        <w:rPr>
          <w:rFonts w:asciiTheme="minorHAnsi" w:hAnsiTheme="minorHAnsi" w:cs="Mongolian Baiti"/>
          <w:color w:val="auto"/>
          <w:sz w:val="20"/>
          <w:szCs w:val="20"/>
        </w:rPr>
        <w:t>We take your privacy very seriously and have established strict measures to protect your personal data. GPS is contractually required to adhere to our data protection policies and the following security standards.</w:t>
      </w:r>
    </w:p>
    <w:p w14:paraId="7AAD54A0" w14:textId="77777777" w:rsidR="00743256" w:rsidRPr="00743256" w:rsidRDefault="00743256" w:rsidP="00743256">
      <w:pPr>
        <w:pStyle w:val="Heading3"/>
        <w:numPr>
          <w:ilvl w:val="0"/>
          <w:numId w:val="43"/>
        </w:numPr>
        <w:suppressAutoHyphens/>
        <w:autoSpaceDN w:val="0"/>
        <w:spacing w:before="0" w:line="240" w:lineRule="auto"/>
        <w:rPr>
          <w:rFonts w:asciiTheme="minorHAnsi" w:hAnsiTheme="minorHAnsi" w:cs="Mongolian Baiti"/>
          <w:color w:val="auto"/>
          <w:sz w:val="20"/>
          <w:szCs w:val="20"/>
        </w:rPr>
      </w:pPr>
      <w:r w:rsidRPr="00743256">
        <w:rPr>
          <w:rStyle w:val="Strong"/>
          <w:rFonts w:asciiTheme="minorHAnsi" w:hAnsiTheme="minorHAnsi" w:cs="Mongolian Baiti"/>
          <w:b w:val="0"/>
          <w:bCs w:val="0"/>
          <w:color w:val="auto"/>
          <w:sz w:val="20"/>
          <w:szCs w:val="20"/>
        </w:rPr>
        <w:t>Access control</w:t>
      </w:r>
      <w:r w:rsidRPr="00743256">
        <w:rPr>
          <w:rFonts w:asciiTheme="minorHAnsi" w:hAnsiTheme="minorHAnsi" w:cs="Mongolian Baiti"/>
          <w:color w:val="auto"/>
          <w:sz w:val="20"/>
          <w:szCs w:val="20"/>
        </w:rPr>
        <w:t xml:space="preserve">. </w:t>
      </w:r>
    </w:p>
    <w:p w14:paraId="66946FCA" w14:textId="77777777" w:rsidR="00743256" w:rsidRPr="00743256" w:rsidRDefault="00743256" w:rsidP="00743256">
      <w:pPr>
        <w:pStyle w:val="Heading3"/>
        <w:spacing w:before="0"/>
        <w:ind w:left="720"/>
        <w:rPr>
          <w:rFonts w:asciiTheme="minorHAnsi" w:hAnsiTheme="minorHAnsi" w:cs="Mongolian Baiti"/>
          <w:color w:val="auto"/>
          <w:sz w:val="20"/>
          <w:szCs w:val="20"/>
        </w:rPr>
      </w:pPr>
      <w:r w:rsidRPr="00743256">
        <w:rPr>
          <w:rFonts w:asciiTheme="minorHAnsi" w:hAnsiTheme="minorHAnsi" w:cs="Mongolian Baiti"/>
          <w:color w:val="auto"/>
          <w:sz w:val="20"/>
          <w:szCs w:val="20"/>
        </w:rPr>
        <w:t>Only authorised personnel at GPS who need access to your data for the performance of their duties will be granted access. Access is tightly controlled and monitored.</w:t>
      </w:r>
    </w:p>
    <w:p w14:paraId="67918759" w14:textId="77777777" w:rsidR="00743256" w:rsidRPr="00743256" w:rsidRDefault="00743256" w:rsidP="00743256">
      <w:pPr>
        <w:pStyle w:val="Heading3"/>
        <w:numPr>
          <w:ilvl w:val="0"/>
          <w:numId w:val="43"/>
        </w:numPr>
        <w:suppressAutoHyphens/>
        <w:autoSpaceDN w:val="0"/>
        <w:spacing w:before="0" w:line="240" w:lineRule="auto"/>
        <w:rPr>
          <w:rFonts w:asciiTheme="minorHAnsi" w:hAnsiTheme="minorHAnsi" w:cs="Mongolian Baiti"/>
          <w:color w:val="auto"/>
          <w:sz w:val="20"/>
          <w:szCs w:val="20"/>
        </w:rPr>
      </w:pPr>
      <w:r w:rsidRPr="00743256">
        <w:rPr>
          <w:rStyle w:val="Strong"/>
          <w:rFonts w:asciiTheme="minorHAnsi" w:hAnsiTheme="minorHAnsi" w:cs="Mongolian Baiti"/>
          <w:b w:val="0"/>
          <w:bCs w:val="0"/>
          <w:color w:val="auto"/>
          <w:sz w:val="20"/>
          <w:szCs w:val="20"/>
        </w:rPr>
        <w:t>Data security</w:t>
      </w:r>
      <w:r w:rsidRPr="00743256">
        <w:rPr>
          <w:rFonts w:asciiTheme="minorHAnsi" w:hAnsiTheme="minorHAnsi" w:cs="Mongolian Baiti"/>
          <w:color w:val="auto"/>
          <w:sz w:val="20"/>
          <w:szCs w:val="20"/>
        </w:rPr>
        <w:t xml:space="preserve">. </w:t>
      </w:r>
    </w:p>
    <w:p w14:paraId="550261E8" w14:textId="77777777" w:rsidR="00743256" w:rsidRPr="00743256" w:rsidRDefault="00743256" w:rsidP="00743256">
      <w:pPr>
        <w:pStyle w:val="Heading3"/>
        <w:spacing w:before="0"/>
        <w:ind w:left="720"/>
        <w:rPr>
          <w:rFonts w:asciiTheme="minorHAnsi" w:hAnsiTheme="minorHAnsi" w:cs="Mongolian Baiti"/>
          <w:color w:val="auto"/>
          <w:sz w:val="20"/>
          <w:szCs w:val="20"/>
        </w:rPr>
      </w:pPr>
      <w:r w:rsidRPr="00743256">
        <w:rPr>
          <w:rFonts w:asciiTheme="minorHAnsi" w:hAnsiTheme="minorHAnsi" w:cs="Mongolian Baiti"/>
          <w:color w:val="auto"/>
          <w:sz w:val="20"/>
          <w:szCs w:val="20"/>
        </w:rPr>
        <w:t>All personal data is stored securely, whether electronically or in hard copy, using industry-standard security measures such as encryption, firewalls, and secure access controls to prevent unauthorised access, loss, or misuse.</w:t>
      </w:r>
    </w:p>
    <w:p w14:paraId="5772F5CB" w14:textId="77777777" w:rsidR="00743256" w:rsidRPr="00743256" w:rsidRDefault="00743256" w:rsidP="00743256">
      <w:pPr>
        <w:pStyle w:val="Heading3"/>
        <w:numPr>
          <w:ilvl w:val="0"/>
          <w:numId w:val="43"/>
        </w:numPr>
        <w:suppressAutoHyphens/>
        <w:autoSpaceDN w:val="0"/>
        <w:spacing w:before="0" w:line="240" w:lineRule="auto"/>
        <w:rPr>
          <w:rFonts w:asciiTheme="minorHAnsi" w:hAnsiTheme="minorHAnsi" w:cs="Mongolian Baiti"/>
          <w:color w:val="auto"/>
          <w:sz w:val="20"/>
          <w:szCs w:val="20"/>
        </w:rPr>
      </w:pPr>
      <w:r w:rsidRPr="00743256">
        <w:rPr>
          <w:rStyle w:val="Strong"/>
          <w:rFonts w:asciiTheme="minorHAnsi" w:hAnsiTheme="minorHAnsi" w:cs="Mongolian Baiti"/>
          <w:b w:val="0"/>
          <w:bCs w:val="0"/>
          <w:color w:val="auto"/>
          <w:sz w:val="20"/>
          <w:szCs w:val="20"/>
        </w:rPr>
        <w:t>Regular audits and reviews</w:t>
      </w:r>
      <w:r w:rsidRPr="00743256">
        <w:rPr>
          <w:rFonts w:asciiTheme="minorHAnsi" w:hAnsiTheme="minorHAnsi" w:cs="Mongolian Baiti"/>
          <w:color w:val="auto"/>
          <w:sz w:val="20"/>
          <w:szCs w:val="20"/>
        </w:rPr>
        <w:t xml:space="preserve">. </w:t>
      </w:r>
    </w:p>
    <w:p w14:paraId="704C57E4" w14:textId="77777777" w:rsidR="00743256" w:rsidRPr="00743256" w:rsidRDefault="00743256" w:rsidP="00743256">
      <w:pPr>
        <w:pStyle w:val="Heading3"/>
        <w:spacing w:before="0"/>
        <w:ind w:left="720"/>
        <w:rPr>
          <w:rFonts w:asciiTheme="minorHAnsi" w:hAnsiTheme="minorHAnsi" w:cs="Mongolian Baiti"/>
          <w:color w:val="auto"/>
          <w:sz w:val="20"/>
          <w:szCs w:val="20"/>
        </w:rPr>
      </w:pPr>
      <w:r w:rsidRPr="00743256">
        <w:rPr>
          <w:rFonts w:asciiTheme="minorHAnsi" w:hAnsiTheme="minorHAnsi" w:cs="Mongolian Baiti"/>
          <w:color w:val="auto"/>
          <w:sz w:val="20"/>
          <w:szCs w:val="20"/>
        </w:rPr>
        <w:t>Security protocols are regularly reviewed and updated to align with current best practices and legal requirements.</w:t>
      </w:r>
    </w:p>
    <w:p w14:paraId="3BD4BC4A" w14:textId="77777777" w:rsidR="00743256" w:rsidRPr="00743256" w:rsidRDefault="00743256" w:rsidP="00743256">
      <w:pPr>
        <w:pStyle w:val="Heading3"/>
        <w:numPr>
          <w:ilvl w:val="0"/>
          <w:numId w:val="43"/>
        </w:numPr>
        <w:suppressAutoHyphens/>
        <w:autoSpaceDN w:val="0"/>
        <w:spacing w:before="0" w:line="240" w:lineRule="auto"/>
        <w:rPr>
          <w:rFonts w:asciiTheme="minorHAnsi" w:hAnsiTheme="minorHAnsi" w:cs="Mongolian Baiti"/>
          <w:color w:val="auto"/>
          <w:sz w:val="20"/>
          <w:szCs w:val="20"/>
        </w:rPr>
      </w:pPr>
      <w:r w:rsidRPr="00743256">
        <w:rPr>
          <w:rStyle w:val="Strong"/>
          <w:rFonts w:asciiTheme="minorHAnsi" w:hAnsiTheme="minorHAnsi" w:cs="Mongolian Baiti"/>
          <w:b w:val="0"/>
          <w:bCs w:val="0"/>
          <w:color w:val="auto"/>
          <w:sz w:val="20"/>
          <w:szCs w:val="20"/>
        </w:rPr>
        <w:t>Compliance with UK data protection laws</w:t>
      </w:r>
      <w:r w:rsidRPr="00743256">
        <w:rPr>
          <w:rFonts w:asciiTheme="minorHAnsi" w:hAnsiTheme="minorHAnsi" w:cs="Mongolian Baiti"/>
          <w:color w:val="auto"/>
          <w:sz w:val="20"/>
          <w:szCs w:val="20"/>
        </w:rPr>
        <w:t xml:space="preserve">. </w:t>
      </w:r>
    </w:p>
    <w:p w14:paraId="6B484377" w14:textId="77777777" w:rsidR="00743256" w:rsidRPr="00743256" w:rsidRDefault="00743256" w:rsidP="00743256">
      <w:pPr>
        <w:pStyle w:val="Heading3"/>
        <w:spacing w:before="0"/>
        <w:ind w:left="720"/>
        <w:rPr>
          <w:rFonts w:asciiTheme="minorHAnsi" w:hAnsiTheme="minorHAnsi" w:cs="Mongolian Baiti"/>
          <w:color w:val="auto"/>
          <w:sz w:val="20"/>
          <w:szCs w:val="20"/>
        </w:rPr>
      </w:pPr>
      <w:r w:rsidRPr="00743256">
        <w:rPr>
          <w:rFonts w:asciiTheme="minorHAnsi" w:hAnsiTheme="minorHAnsi" w:cs="Mongolian Baiti"/>
          <w:color w:val="auto"/>
          <w:sz w:val="20"/>
          <w:szCs w:val="20"/>
        </w:rPr>
        <w:t>GPS processes all personal data in compliance with the UK General Data Protection Regulation (UK GDPR) and the Data Protection Act 2018.</w:t>
      </w:r>
    </w:p>
    <w:p w14:paraId="4E510B3D" w14:textId="77777777" w:rsidR="00743256" w:rsidRPr="00743256" w:rsidRDefault="00743256" w:rsidP="00743256">
      <w:pPr>
        <w:rPr>
          <w:color w:val="auto"/>
        </w:rPr>
      </w:pPr>
    </w:p>
    <w:p w14:paraId="1629094A" w14:textId="77777777" w:rsidR="00743256" w:rsidRPr="00743256" w:rsidRDefault="00743256" w:rsidP="00743256">
      <w:pPr>
        <w:pStyle w:val="Heading3"/>
        <w:spacing w:before="0"/>
        <w:rPr>
          <w:rFonts w:asciiTheme="minorHAnsi" w:hAnsiTheme="minorHAnsi" w:cs="Mongolian Baiti"/>
          <w:color w:val="auto"/>
          <w:sz w:val="20"/>
          <w:szCs w:val="20"/>
        </w:rPr>
      </w:pPr>
      <w:r w:rsidRPr="00743256">
        <w:rPr>
          <w:rStyle w:val="Strong"/>
          <w:rFonts w:asciiTheme="minorHAnsi" w:hAnsiTheme="minorHAnsi" w:cs="Mongolian Baiti"/>
          <w:b w:val="0"/>
          <w:bCs w:val="0"/>
          <w:color w:val="auto"/>
          <w:sz w:val="20"/>
          <w:szCs w:val="20"/>
        </w:rPr>
        <w:t>How long we keep your information.</w:t>
      </w:r>
    </w:p>
    <w:p w14:paraId="3F562576" w14:textId="77777777" w:rsidR="00743256" w:rsidRPr="00743256" w:rsidRDefault="00743256" w:rsidP="00743256">
      <w:pPr>
        <w:pStyle w:val="NormalWeb"/>
        <w:spacing w:before="0" w:after="0"/>
        <w:rPr>
          <w:rFonts w:asciiTheme="minorHAnsi" w:hAnsiTheme="minorHAnsi" w:cs="Mongolian Baiti"/>
          <w:color w:val="auto"/>
          <w:sz w:val="20"/>
        </w:rPr>
      </w:pPr>
      <w:r w:rsidRPr="00743256">
        <w:rPr>
          <w:rFonts w:asciiTheme="minorHAnsi" w:hAnsiTheme="minorHAnsi" w:cs="Mongolian Baiti"/>
          <w:color w:val="auto"/>
          <w:sz w:val="20"/>
        </w:rPr>
        <w:t xml:space="preserve">GPS will only retain your personal data for as long as necessary to fulfil the purposes for which it was collected, or as required by law. Once the relevant processing is complete, your data will be securely destroyed or returned to </w:t>
      </w:r>
      <w:r w:rsidRPr="00743256">
        <w:rPr>
          <w:rStyle w:val="Strong"/>
          <w:rFonts w:asciiTheme="minorHAnsi" w:hAnsiTheme="minorHAnsi" w:cs="Mongolian Baiti"/>
          <w:b w:val="0"/>
          <w:bCs w:val="0"/>
          <w:color w:val="auto"/>
          <w:sz w:val="20"/>
        </w:rPr>
        <w:t xml:space="preserve">Ayton &amp; Snainton Medical Practice </w:t>
      </w:r>
      <w:r w:rsidRPr="00743256">
        <w:rPr>
          <w:rFonts w:asciiTheme="minorHAnsi" w:hAnsiTheme="minorHAnsi" w:cs="Mongolian Baiti"/>
          <w:color w:val="auto"/>
          <w:sz w:val="20"/>
        </w:rPr>
        <w:t>as appropriate.</w:t>
      </w:r>
    </w:p>
    <w:p w14:paraId="66E807F1" w14:textId="77777777" w:rsidR="00743256" w:rsidRPr="00743256" w:rsidRDefault="00743256" w:rsidP="00743256">
      <w:pPr>
        <w:pStyle w:val="NormalWeb"/>
        <w:spacing w:before="0" w:after="0"/>
        <w:rPr>
          <w:rFonts w:asciiTheme="minorHAnsi" w:hAnsiTheme="minorHAnsi" w:cs="Mongolian Baiti"/>
          <w:color w:val="auto"/>
          <w:sz w:val="20"/>
        </w:rPr>
      </w:pPr>
    </w:p>
    <w:p w14:paraId="6E858DDA" w14:textId="77777777" w:rsidR="00743256" w:rsidRPr="00743256" w:rsidRDefault="00743256" w:rsidP="00743256">
      <w:pPr>
        <w:pStyle w:val="Heading3"/>
        <w:spacing w:before="0"/>
        <w:rPr>
          <w:rStyle w:val="Strong"/>
          <w:rFonts w:asciiTheme="minorHAnsi" w:hAnsiTheme="minorHAnsi" w:cs="Mongolian Baiti"/>
          <w:b w:val="0"/>
          <w:bCs w:val="0"/>
          <w:color w:val="auto"/>
          <w:sz w:val="20"/>
          <w:szCs w:val="20"/>
        </w:rPr>
      </w:pPr>
      <w:r w:rsidRPr="00743256">
        <w:rPr>
          <w:rStyle w:val="Strong"/>
          <w:rFonts w:asciiTheme="minorHAnsi" w:hAnsiTheme="minorHAnsi" w:cs="Mongolian Baiti"/>
          <w:b w:val="0"/>
          <w:bCs w:val="0"/>
          <w:color w:val="auto"/>
          <w:sz w:val="20"/>
          <w:szCs w:val="20"/>
        </w:rPr>
        <w:t>Sharing your information.</w:t>
      </w:r>
    </w:p>
    <w:p w14:paraId="149FD437" w14:textId="77777777" w:rsidR="00743256" w:rsidRPr="00743256" w:rsidRDefault="00743256" w:rsidP="00743256">
      <w:pPr>
        <w:pStyle w:val="Heading3"/>
        <w:spacing w:before="0"/>
        <w:rPr>
          <w:rFonts w:asciiTheme="minorHAnsi" w:hAnsiTheme="minorHAnsi" w:cs="Mongolian Baiti"/>
          <w:color w:val="auto"/>
          <w:sz w:val="20"/>
          <w:szCs w:val="20"/>
        </w:rPr>
      </w:pPr>
      <w:r w:rsidRPr="00743256">
        <w:rPr>
          <w:rFonts w:asciiTheme="minorHAnsi" w:hAnsiTheme="minorHAnsi" w:cs="Mongolian Baiti"/>
          <w:color w:val="auto"/>
          <w:sz w:val="20"/>
          <w:szCs w:val="20"/>
        </w:rPr>
        <w:t xml:space="preserve">GPS will not share your personal data with any third parties unless required to do so by law or where it is necessary for the provision of healthcare services on our behalf. Any data sharing will be conducted in accordance with the instructions and policies set by </w:t>
      </w:r>
      <w:r w:rsidRPr="00743256">
        <w:rPr>
          <w:rStyle w:val="Strong"/>
          <w:rFonts w:asciiTheme="minorHAnsi" w:hAnsiTheme="minorHAnsi" w:cs="Mongolian Baiti"/>
          <w:b w:val="0"/>
          <w:bCs w:val="0"/>
          <w:color w:val="auto"/>
          <w:sz w:val="20"/>
          <w:szCs w:val="20"/>
        </w:rPr>
        <w:t>Ayton &amp; Snainton Medical Practice.</w:t>
      </w:r>
    </w:p>
    <w:p w14:paraId="529D0ABC" w14:textId="77777777" w:rsidR="00743256" w:rsidRPr="00743256" w:rsidRDefault="00743256" w:rsidP="00743256">
      <w:pPr>
        <w:pStyle w:val="Heading3"/>
        <w:spacing w:before="0"/>
        <w:rPr>
          <w:rStyle w:val="Strong"/>
          <w:rFonts w:asciiTheme="minorHAnsi" w:hAnsiTheme="minorHAnsi" w:cs="Mongolian Baiti"/>
          <w:b w:val="0"/>
          <w:bCs w:val="0"/>
          <w:color w:val="auto"/>
          <w:sz w:val="20"/>
          <w:szCs w:val="20"/>
        </w:rPr>
      </w:pPr>
    </w:p>
    <w:p w14:paraId="6DB1B672" w14:textId="77777777" w:rsidR="00743256" w:rsidRPr="00743256" w:rsidRDefault="00743256" w:rsidP="00743256">
      <w:pPr>
        <w:pStyle w:val="Heading3"/>
        <w:spacing w:before="0"/>
        <w:rPr>
          <w:rStyle w:val="Strong"/>
          <w:rFonts w:asciiTheme="minorHAnsi" w:hAnsiTheme="minorHAnsi" w:cs="Mongolian Baiti"/>
          <w:b w:val="0"/>
          <w:bCs w:val="0"/>
          <w:color w:val="auto"/>
          <w:sz w:val="20"/>
          <w:szCs w:val="20"/>
        </w:rPr>
      </w:pPr>
      <w:r w:rsidRPr="00743256">
        <w:rPr>
          <w:rStyle w:val="Strong"/>
          <w:rFonts w:asciiTheme="minorHAnsi" w:hAnsiTheme="minorHAnsi" w:cs="Mongolian Baiti"/>
          <w:b w:val="0"/>
          <w:bCs w:val="0"/>
          <w:color w:val="auto"/>
          <w:sz w:val="20"/>
          <w:szCs w:val="20"/>
        </w:rPr>
        <w:t>Your rights.</w:t>
      </w:r>
    </w:p>
    <w:p w14:paraId="55B11FAF" w14:textId="77777777" w:rsidR="00743256" w:rsidRPr="00743256" w:rsidRDefault="00743256" w:rsidP="00743256">
      <w:pPr>
        <w:pStyle w:val="Heading3"/>
        <w:spacing w:before="0"/>
        <w:rPr>
          <w:rFonts w:asciiTheme="minorHAnsi" w:hAnsiTheme="minorHAnsi" w:cs="Mongolian Baiti"/>
          <w:color w:val="auto"/>
          <w:sz w:val="20"/>
          <w:szCs w:val="20"/>
        </w:rPr>
      </w:pPr>
      <w:r w:rsidRPr="00743256">
        <w:rPr>
          <w:rFonts w:asciiTheme="minorHAnsi" w:hAnsiTheme="minorHAnsi" w:cs="Mongolian Baiti"/>
          <w:color w:val="auto"/>
          <w:sz w:val="20"/>
          <w:szCs w:val="20"/>
        </w:rPr>
        <w:t>As a patient, you have several rights under UK data protection law, including:</w:t>
      </w:r>
    </w:p>
    <w:p w14:paraId="0719688D" w14:textId="77777777" w:rsidR="00743256" w:rsidRPr="00743256" w:rsidRDefault="00743256" w:rsidP="00743256">
      <w:pPr>
        <w:pStyle w:val="ListParagraph"/>
        <w:numPr>
          <w:ilvl w:val="0"/>
          <w:numId w:val="42"/>
        </w:numPr>
        <w:spacing w:before="0" w:after="0" w:line="240" w:lineRule="auto"/>
        <w:rPr>
          <w:rFonts w:cs="Mongolian Baiti"/>
          <w:color w:val="auto"/>
        </w:rPr>
      </w:pPr>
      <w:r w:rsidRPr="00743256">
        <w:rPr>
          <w:rStyle w:val="Strong"/>
          <w:rFonts w:cs="Mongolian Baiti"/>
          <w:b w:val="0"/>
          <w:bCs w:val="0"/>
          <w:color w:val="auto"/>
        </w:rPr>
        <w:t>Right of access</w:t>
      </w:r>
      <w:r w:rsidRPr="00743256">
        <w:rPr>
          <w:rFonts w:cs="Mongolian Baiti"/>
          <w:color w:val="auto"/>
        </w:rPr>
        <w:t xml:space="preserve">. </w:t>
      </w:r>
    </w:p>
    <w:p w14:paraId="74CC92E1" w14:textId="77777777" w:rsidR="00743256" w:rsidRPr="00743256" w:rsidRDefault="00743256" w:rsidP="00743256">
      <w:pPr>
        <w:pStyle w:val="ListParagraph"/>
        <w:rPr>
          <w:rFonts w:cs="Mongolian Baiti"/>
          <w:color w:val="auto"/>
        </w:rPr>
      </w:pPr>
      <w:r w:rsidRPr="00743256">
        <w:rPr>
          <w:rFonts w:cs="Mongolian Baiti"/>
          <w:color w:val="auto"/>
        </w:rPr>
        <w:t>You have the right to request access to the personal data we hold about you.</w:t>
      </w:r>
    </w:p>
    <w:p w14:paraId="672BC1A4" w14:textId="77777777" w:rsidR="00743256" w:rsidRPr="00743256" w:rsidRDefault="00743256" w:rsidP="00743256">
      <w:pPr>
        <w:pStyle w:val="ListParagraph"/>
        <w:numPr>
          <w:ilvl w:val="0"/>
          <w:numId w:val="42"/>
        </w:numPr>
        <w:spacing w:before="0" w:after="0" w:line="240" w:lineRule="auto"/>
        <w:rPr>
          <w:rFonts w:cs="Mongolian Baiti"/>
          <w:color w:val="auto"/>
        </w:rPr>
      </w:pPr>
      <w:r w:rsidRPr="00743256">
        <w:rPr>
          <w:rStyle w:val="Strong"/>
          <w:rFonts w:cs="Mongolian Baiti"/>
          <w:b w:val="0"/>
          <w:bCs w:val="0"/>
          <w:color w:val="auto"/>
        </w:rPr>
        <w:t>Right to rectification</w:t>
      </w:r>
      <w:r w:rsidRPr="00743256">
        <w:rPr>
          <w:rFonts w:cs="Mongolian Baiti"/>
          <w:color w:val="auto"/>
        </w:rPr>
        <w:t xml:space="preserve">. </w:t>
      </w:r>
    </w:p>
    <w:p w14:paraId="14B08CD1" w14:textId="77777777" w:rsidR="00743256" w:rsidRPr="00743256" w:rsidRDefault="00743256" w:rsidP="00743256">
      <w:pPr>
        <w:pStyle w:val="ListParagraph"/>
        <w:rPr>
          <w:rFonts w:cs="Mongolian Baiti"/>
          <w:color w:val="auto"/>
        </w:rPr>
      </w:pPr>
      <w:r w:rsidRPr="00743256">
        <w:rPr>
          <w:rFonts w:cs="Mongolian Baiti"/>
          <w:color w:val="auto"/>
        </w:rPr>
        <w:t>You have the right to request correction of any inaccurate or incomplete data.</w:t>
      </w:r>
    </w:p>
    <w:p w14:paraId="5416F867" w14:textId="77777777" w:rsidR="00743256" w:rsidRPr="00743256" w:rsidRDefault="00743256" w:rsidP="00743256">
      <w:pPr>
        <w:pStyle w:val="ListParagraph"/>
        <w:numPr>
          <w:ilvl w:val="0"/>
          <w:numId w:val="42"/>
        </w:numPr>
        <w:spacing w:before="0" w:after="0" w:line="240" w:lineRule="auto"/>
        <w:rPr>
          <w:rFonts w:cs="Mongolian Baiti"/>
          <w:color w:val="auto"/>
        </w:rPr>
      </w:pPr>
      <w:r w:rsidRPr="00743256">
        <w:rPr>
          <w:rStyle w:val="Strong"/>
          <w:rFonts w:cs="Mongolian Baiti"/>
          <w:b w:val="0"/>
          <w:bCs w:val="0"/>
          <w:color w:val="auto"/>
        </w:rPr>
        <w:t>Right to erasure</w:t>
      </w:r>
      <w:r w:rsidRPr="00743256">
        <w:rPr>
          <w:rFonts w:cs="Mongolian Baiti"/>
          <w:color w:val="auto"/>
        </w:rPr>
        <w:t xml:space="preserve">. </w:t>
      </w:r>
    </w:p>
    <w:p w14:paraId="10447664" w14:textId="77777777" w:rsidR="00743256" w:rsidRPr="00743256" w:rsidRDefault="00743256" w:rsidP="00743256">
      <w:pPr>
        <w:pStyle w:val="ListParagraph"/>
        <w:rPr>
          <w:rFonts w:cs="Mongolian Baiti"/>
          <w:color w:val="auto"/>
        </w:rPr>
      </w:pPr>
      <w:r w:rsidRPr="00743256">
        <w:rPr>
          <w:rFonts w:cs="Mongolian Baiti"/>
          <w:color w:val="auto"/>
        </w:rPr>
        <w:t>You have the right to request the deletion of your personal data in certain circumstances (the ‘right to be forgotten’).</w:t>
      </w:r>
    </w:p>
    <w:p w14:paraId="2D7E8E2E" w14:textId="77777777" w:rsidR="00743256" w:rsidRPr="00743256" w:rsidRDefault="00743256" w:rsidP="00743256">
      <w:pPr>
        <w:pStyle w:val="ListParagraph"/>
        <w:numPr>
          <w:ilvl w:val="0"/>
          <w:numId w:val="42"/>
        </w:numPr>
        <w:spacing w:before="0" w:after="0" w:line="240" w:lineRule="auto"/>
        <w:rPr>
          <w:rFonts w:cs="Mongolian Baiti"/>
          <w:color w:val="auto"/>
        </w:rPr>
      </w:pPr>
      <w:r w:rsidRPr="00743256">
        <w:rPr>
          <w:rStyle w:val="Strong"/>
          <w:rFonts w:cs="Mongolian Baiti"/>
          <w:b w:val="0"/>
          <w:bCs w:val="0"/>
          <w:color w:val="auto"/>
        </w:rPr>
        <w:t>Right to restrict processing</w:t>
      </w:r>
      <w:r w:rsidRPr="00743256">
        <w:rPr>
          <w:rFonts w:cs="Mongolian Baiti"/>
          <w:color w:val="auto"/>
        </w:rPr>
        <w:t xml:space="preserve">. </w:t>
      </w:r>
    </w:p>
    <w:p w14:paraId="6B2148DC" w14:textId="77777777" w:rsidR="00743256" w:rsidRPr="00743256" w:rsidRDefault="00743256" w:rsidP="00743256">
      <w:pPr>
        <w:pStyle w:val="ListParagraph"/>
        <w:rPr>
          <w:rFonts w:cs="Mongolian Baiti"/>
          <w:color w:val="auto"/>
        </w:rPr>
      </w:pPr>
      <w:r w:rsidRPr="00743256">
        <w:rPr>
          <w:rFonts w:cs="Mongolian Baiti"/>
          <w:color w:val="auto"/>
        </w:rPr>
        <w:t>You have the right to request that we restrict the processing of your personal data in certain situations.</w:t>
      </w:r>
    </w:p>
    <w:p w14:paraId="76F50B11" w14:textId="77777777" w:rsidR="00743256" w:rsidRPr="00743256" w:rsidRDefault="00743256" w:rsidP="00743256">
      <w:pPr>
        <w:pStyle w:val="ListParagraph"/>
        <w:numPr>
          <w:ilvl w:val="0"/>
          <w:numId w:val="42"/>
        </w:numPr>
        <w:spacing w:before="0" w:after="0" w:line="240" w:lineRule="auto"/>
        <w:rPr>
          <w:rFonts w:cs="Mongolian Baiti"/>
          <w:color w:val="auto"/>
        </w:rPr>
      </w:pPr>
      <w:r w:rsidRPr="00743256">
        <w:rPr>
          <w:rStyle w:val="Strong"/>
          <w:rFonts w:cs="Mongolian Baiti"/>
          <w:b w:val="0"/>
          <w:bCs w:val="0"/>
          <w:color w:val="auto"/>
        </w:rPr>
        <w:t>Right to data portability</w:t>
      </w:r>
      <w:r w:rsidRPr="00743256">
        <w:rPr>
          <w:rFonts w:cs="Mongolian Baiti"/>
          <w:color w:val="auto"/>
        </w:rPr>
        <w:t xml:space="preserve">. </w:t>
      </w:r>
    </w:p>
    <w:p w14:paraId="31B681CA" w14:textId="77777777" w:rsidR="00743256" w:rsidRPr="00743256" w:rsidRDefault="00743256" w:rsidP="00743256">
      <w:pPr>
        <w:pStyle w:val="ListParagraph"/>
        <w:rPr>
          <w:rFonts w:cs="Mongolian Baiti"/>
          <w:color w:val="auto"/>
        </w:rPr>
      </w:pPr>
      <w:r w:rsidRPr="00743256">
        <w:rPr>
          <w:rFonts w:cs="Mongolian Baiti"/>
          <w:color w:val="auto"/>
        </w:rPr>
        <w:t>You have the right to request that your personal data be transferred to another data controller in a structured, commonly used, and machine-readable format.</w:t>
      </w:r>
    </w:p>
    <w:p w14:paraId="419DEA8A" w14:textId="77777777" w:rsidR="00743256" w:rsidRPr="00743256" w:rsidRDefault="00743256" w:rsidP="00743256">
      <w:pPr>
        <w:pStyle w:val="ListParagraph"/>
        <w:numPr>
          <w:ilvl w:val="0"/>
          <w:numId w:val="42"/>
        </w:numPr>
        <w:spacing w:before="0" w:after="0" w:line="240" w:lineRule="auto"/>
        <w:rPr>
          <w:rFonts w:cs="Mongolian Baiti"/>
          <w:color w:val="auto"/>
        </w:rPr>
      </w:pPr>
      <w:r w:rsidRPr="00743256">
        <w:rPr>
          <w:rStyle w:val="Strong"/>
          <w:rFonts w:cs="Mongolian Baiti"/>
          <w:b w:val="0"/>
          <w:bCs w:val="0"/>
          <w:color w:val="auto"/>
        </w:rPr>
        <w:t>Right to object</w:t>
      </w:r>
      <w:r w:rsidRPr="00743256">
        <w:rPr>
          <w:rFonts w:cs="Mongolian Baiti"/>
          <w:color w:val="auto"/>
        </w:rPr>
        <w:t xml:space="preserve">. </w:t>
      </w:r>
    </w:p>
    <w:p w14:paraId="623B86E6" w14:textId="77777777" w:rsidR="00743256" w:rsidRPr="00743256" w:rsidRDefault="00743256" w:rsidP="00743256">
      <w:pPr>
        <w:pStyle w:val="ListParagraph"/>
        <w:rPr>
          <w:rFonts w:cs="Mongolian Baiti"/>
          <w:color w:val="auto"/>
        </w:rPr>
      </w:pPr>
      <w:r w:rsidRPr="00743256">
        <w:rPr>
          <w:rFonts w:cs="Mongolian Baiti"/>
          <w:color w:val="auto"/>
        </w:rPr>
        <w:t>You have the right to object to certain types of processing, such as direct marketing or processing based on legitimate interests.</w:t>
      </w:r>
    </w:p>
    <w:p w14:paraId="20B30C6F" w14:textId="77777777" w:rsidR="00743256" w:rsidRPr="00743256" w:rsidRDefault="00743256" w:rsidP="00743256">
      <w:pPr>
        <w:pStyle w:val="NormalWeb"/>
        <w:numPr>
          <w:ilvl w:val="0"/>
          <w:numId w:val="42"/>
        </w:numPr>
        <w:spacing w:before="0" w:after="0" w:line="240" w:lineRule="auto"/>
        <w:rPr>
          <w:rFonts w:asciiTheme="minorHAnsi" w:hAnsiTheme="minorHAnsi" w:cs="Mongolian Baiti"/>
          <w:color w:val="auto"/>
          <w:sz w:val="20"/>
        </w:rPr>
      </w:pPr>
      <w:r w:rsidRPr="00743256">
        <w:rPr>
          <w:rFonts w:asciiTheme="minorHAnsi" w:hAnsiTheme="minorHAnsi" w:cs="Mongolian Baiti"/>
          <w:color w:val="auto"/>
          <w:sz w:val="20"/>
        </w:rPr>
        <w:t>To exercise any of these rights, please contact us using the details provided below. We will respond to your request in accordance with the statutory timeframes set out under UK data protection law.</w:t>
      </w:r>
    </w:p>
    <w:p w14:paraId="0FF0C0DD" w14:textId="77777777" w:rsidR="00743256" w:rsidRPr="00743256" w:rsidRDefault="00743256" w:rsidP="00743256">
      <w:pPr>
        <w:pStyle w:val="Heading3"/>
        <w:spacing w:before="0"/>
        <w:rPr>
          <w:rStyle w:val="Strong"/>
          <w:rFonts w:asciiTheme="minorHAnsi" w:hAnsiTheme="minorHAnsi" w:cs="Mongolian Baiti"/>
          <w:b w:val="0"/>
          <w:bCs w:val="0"/>
          <w:color w:val="auto"/>
          <w:sz w:val="20"/>
          <w:szCs w:val="20"/>
        </w:rPr>
      </w:pPr>
    </w:p>
    <w:p w14:paraId="22239D27" w14:textId="77777777" w:rsidR="00743256" w:rsidRPr="00743256" w:rsidRDefault="00743256" w:rsidP="00743256">
      <w:pPr>
        <w:pStyle w:val="Heading3"/>
        <w:spacing w:before="0"/>
        <w:rPr>
          <w:rStyle w:val="Strong"/>
          <w:rFonts w:asciiTheme="minorHAnsi" w:hAnsiTheme="minorHAnsi" w:cs="Mongolian Baiti"/>
          <w:b w:val="0"/>
          <w:bCs w:val="0"/>
          <w:color w:val="auto"/>
          <w:sz w:val="20"/>
          <w:szCs w:val="20"/>
        </w:rPr>
      </w:pPr>
      <w:r w:rsidRPr="00743256">
        <w:rPr>
          <w:rStyle w:val="Strong"/>
          <w:rFonts w:asciiTheme="minorHAnsi" w:hAnsiTheme="minorHAnsi" w:cs="Mongolian Baiti"/>
          <w:b w:val="0"/>
          <w:bCs w:val="0"/>
          <w:color w:val="auto"/>
          <w:sz w:val="20"/>
          <w:szCs w:val="20"/>
        </w:rPr>
        <w:t>Contact information.</w:t>
      </w:r>
    </w:p>
    <w:p w14:paraId="4B50A3DB" w14:textId="77777777" w:rsidR="00743256" w:rsidRPr="00743256" w:rsidRDefault="00743256" w:rsidP="00743256">
      <w:pPr>
        <w:pStyle w:val="Heading3"/>
        <w:spacing w:before="0"/>
        <w:rPr>
          <w:rFonts w:asciiTheme="minorHAnsi" w:hAnsiTheme="minorHAnsi" w:cs="Mongolian Baiti"/>
          <w:color w:val="auto"/>
          <w:sz w:val="20"/>
          <w:szCs w:val="20"/>
        </w:rPr>
      </w:pPr>
      <w:r w:rsidRPr="00743256">
        <w:rPr>
          <w:rFonts w:asciiTheme="minorHAnsi" w:hAnsiTheme="minorHAnsi" w:cs="Mongolian Baiti"/>
          <w:color w:val="auto"/>
          <w:sz w:val="20"/>
          <w:szCs w:val="20"/>
        </w:rPr>
        <w:t>If you have any questions or concerns about how your personal data is handled, or if you wish to exercise any of your rights, please contact:</w:t>
      </w:r>
    </w:p>
    <w:p w14:paraId="6FAAD55C" w14:textId="77777777" w:rsidR="00743256" w:rsidRPr="00743256" w:rsidRDefault="00743256" w:rsidP="00743256">
      <w:pPr>
        <w:spacing w:after="0"/>
        <w:rPr>
          <w:color w:val="auto"/>
        </w:rPr>
      </w:pPr>
    </w:p>
    <w:p w14:paraId="07C80B3C" w14:textId="77777777" w:rsidR="00743256" w:rsidRPr="00743256" w:rsidRDefault="00743256" w:rsidP="00743256">
      <w:pPr>
        <w:pStyle w:val="NormalWeb"/>
        <w:spacing w:before="0" w:after="0"/>
        <w:rPr>
          <w:rFonts w:asciiTheme="minorHAnsi" w:hAnsiTheme="minorHAnsi" w:cs="Mongolian Baiti"/>
          <w:color w:val="auto"/>
          <w:sz w:val="20"/>
        </w:rPr>
      </w:pPr>
      <w:r w:rsidRPr="00743256">
        <w:rPr>
          <w:rStyle w:val="Strong"/>
          <w:rFonts w:asciiTheme="minorHAnsi" w:hAnsiTheme="minorHAnsi" w:cs="Mongolian Baiti"/>
          <w:b w:val="0"/>
          <w:bCs w:val="0"/>
          <w:color w:val="auto"/>
          <w:sz w:val="20"/>
        </w:rPr>
        <w:t>Ayton &amp; Snainton Medical Practice</w:t>
      </w:r>
      <w:r w:rsidRPr="00743256">
        <w:rPr>
          <w:rFonts w:asciiTheme="minorHAnsi" w:hAnsiTheme="minorHAnsi" w:cs="Mongolian Baiti"/>
          <w:color w:val="auto"/>
          <w:sz w:val="20"/>
        </w:rPr>
        <w:br/>
        <w:t>Phone: 01723 863100</w:t>
      </w:r>
      <w:r w:rsidRPr="00743256">
        <w:rPr>
          <w:rFonts w:asciiTheme="minorHAnsi" w:hAnsiTheme="minorHAnsi" w:cs="Mongolian Baiti"/>
          <w:color w:val="auto"/>
          <w:sz w:val="20"/>
        </w:rPr>
        <w:br/>
        <w:t>Address: Pickering Road, West Ayton, Scarborough, YO13 9JF</w:t>
      </w:r>
    </w:p>
    <w:p w14:paraId="2063A3FD" w14:textId="77777777" w:rsidR="00743256" w:rsidRPr="00743256" w:rsidRDefault="00743256" w:rsidP="00743256">
      <w:pPr>
        <w:pStyle w:val="NormalWeb"/>
        <w:spacing w:before="0" w:after="0"/>
        <w:rPr>
          <w:rFonts w:asciiTheme="minorHAnsi" w:hAnsiTheme="minorHAnsi" w:cs="Mongolian Baiti"/>
          <w:color w:val="auto"/>
          <w:sz w:val="20"/>
        </w:rPr>
      </w:pPr>
    </w:p>
    <w:p w14:paraId="2996D450" w14:textId="77777777" w:rsidR="00743256" w:rsidRPr="00743256" w:rsidRDefault="00743256" w:rsidP="00743256">
      <w:pPr>
        <w:pStyle w:val="NormalWeb"/>
        <w:spacing w:before="0" w:after="0"/>
        <w:rPr>
          <w:rFonts w:asciiTheme="minorHAnsi" w:hAnsiTheme="minorHAnsi" w:cs="Mongolian Baiti"/>
          <w:color w:val="auto"/>
          <w:sz w:val="20"/>
        </w:rPr>
      </w:pPr>
      <w:r w:rsidRPr="00743256">
        <w:rPr>
          <w:rFonts w:asciiTheme="minorHAnsi" w:hAnsiTheme="minorHAnsi" w:cs="Mongolian Baiti"/>
          <w:color w:val="auto"/>
          <w:sz w:val="20"/>
        </w:rPr>
        <w:t>Alternatively, you may contact GPS directly:</w:t>
      </w:r>
    </w:p>
    <w:p w14:paraId="1A5BCBC5" w14:textId="77777777" w:rsidR="00743256" w:rsidRPr="00743256" w:rsidRDefault="00743256" w:rsidP="00743256">
      <w:pPr>
        <w:pStyle w:val="NormalWeb"/>
        <w:spacing w:before="0" w:after="0"/>
        <w:rPr>
          <w:rFonts w:asciiTheme="minorHAnsi" w:hAnsiTheme="minorHAnsi" w:cs="Mongolian Baiti"/>
          <w:color w:val="auto"/>
          <w:sz w:val="20"/>
        </w:rPr>
      </w:pPr>
    </w:p>
    <w:p w14:paraId="4EA4FBB7" w14:textId="77777777" w:rsidR="00743256" w:rsidRPr="00743256" w:rsidRDefault="00743256" w:rsidP="00743256">
      <w:pPr>
        <w:pStyle w:val="NormalWeb"/>
        <w:spacing w:before="0" w:after="0"/>
        <w:rPr>
          <w:rFonts w:asciiTheme="minorHAnsi" w:hAnsiTheme="minorHAnsi" w:cs="Mongolian Baiti"/>
          <w:color w:val="auto"/>
          <w:sz w:val="20"/>
        </w:rPr>
      </w:pPr>
      <w:r w:rsidRPr="00743256">
        <w:rPr>
          <w:rStyle w:val="Strong"/>
          <w:rFonts w:asciiTheme="minorHAnsi" w:hAnsiTheme="minorHAnsi" w:cs="Mongolian Baiti"/>
          <w:b w:val="0"/>
          <w:bCs w:val="0"/>
          <w:color w:val="auto"/>
          <w:sz w:val="20"/>
        </w:rPr>
        <w:t>General Practice Solutions (GPS)</w:t>
      </w:r>
      <w:r w:rsidRPr="00743256">
        <w:rPr>
          <w:rFonts w:asciiTheme="minorHAnsi" w:hAnsiTheme="minorHAnsi" w:cs="Mongolian Baiti"/>
          <w:color w:val="auto"/>
          <w:sz w:val="20"/>
        </w:rPr>
        <w:br/>
        <w:t>Email: dataprotection@generalpracticesolutions.net</w:t>
      </w:r>
      <w:r w:rsidRPr="00743256">
        <w:rPr>
          <w:rFonts w:asciiTheme="minorHAnsi" w:hAnsiTheme="minorHAnsi" w:cs="Mongolian Baiti"/>
          <w:color w:val="auto"/>
          <w:sz w:val="20"/>
        </w:rPr>
        <w:br/>
        <w:t>Address: 71-75 Shelton Street, London, WC2H 9JQ</w:t>
      </w:r>
    </w:p>
    <w:p w14:paraId="2A596955" w14:textId="77777777" w:rsidR="00743256" w:rsidRPr="00743256" w:rsidRDefault="00743256" w:rsidP="00743256">
      <w:pPr>
        <w:pStyle w:val="NormalWeb"/>
        <w:spacing w:before="0" w:after="0"/>
        <w:rPr>
          <w:rFonts w:asciiTheme="minorHAnsi" w:hAnsiTheme="minorHAnsi" w:cs="Mongolian Baiti"/>
          <w:color w:val="auto"/>
          <w:sz w:val="20"/>
        </w:rPr>
      </w:pPr>
    </w:p>
    <w:p w14:paraId="432AB127" w14:textId="77777777" w:rsidR="00743256" w:rsidRPr="00743256" w:rsidRDefault="00743256" w:rsidP="00743256">
      <w:pPr>
        <w:pStyle w:val="NormalWeb"/>
        <w:spacing w:before="0" w:after="0"/>
        <w:rPr>
          <w:rFonts w:asciiTheme="minorHAnsi" w:hAnsiTheme="minorHAnsi" w:cs="Mongolian Baiti"/>
          <w:color w:val="auto"/>
          <w:sz w:val="20"/>
        </w:rPr>
      </w:pPr>
      <w:r w:rsidRPr="00743256">
        <w:rPr>
          <w:rFonts w:asciiTheme="minorHAnsi" w:hAnsiTheme="minorHAnsi" w:cs="Mongolian Baiti"/>
          <w:color w:val="auto"/>
          <w:sz w:val="20"/>
        </w:rPr>
        <w:t>If you are not satisfied with how we handle your data or our response to your concerns, you have the right to complain to the Information Commissioner’s Office (ICO), the UK's independent authority for upholding information rights.</w:t>
      </w:r>
    </w:p>
    <w:p w14:paraId="57DB05C0" w14:textId="77777777" w:rsidR="00743256" w:rsidRPr="00743256" w:rsidRDefault="00743256" w:rsidP="00743256">
      <w:pPr>
        <w:pStyle w:val="NormalWeb"/>
        <w:spacing w:before="0" w:after="0"/>
        <w:rPr>
          <w:rFonts w:asciiTheme="minorHAnsi" w:hAnsiTheme="minorHAnsi" w:cs="Mongolian Baiti"/>
          <w:color w:val="auto"/>
          <w:sz w:val="20"/>
        </w:rPr>
      </w:pPr>
    </w:p>
    <w:p w14:paraId="087875C3" w14:textId="77777777" w:rsidR="00743256" w:rsidRPr="00743256" w:rsidRDefault="00743256" w:rsidP="00743256">
      <w:pPr>
        <w:pStyle w:val="NormalWeb"/>
        <w:spacing w:before="0" w:after="0"/>
        <w:rPr>
          <w:rFonts w:asciiTheme="minorHAnsi" w:hAnsiTheme="minorHAnsi" w:cs="Mongolian Baiti"/>
          <w:color w:val="auto"/>
          <w:sz w:val="20"/>
        </w:rPr>
      </w:pPr>
      <w:r w:rsidRPr="00743256">
        <w:rPr>
          <w:rStyle w:val="Strong"/>
          <w:rFonts w:asciiTheme="minorHAnsi" w:hAnsiTheme="minorHAnsi" w:cs="Mongolian Baiti"/>
          <w:b w:val="0"/>
          <w:bCs w:val="0"/>
          <w:color w:val="auto"/>
          <w:sz w:val="20"/>
        </w:rPr>
        <w:t>Information Commissioner's Office (ICO).</w:t>
      </w:r>
      <w:r w:rsidRPr="00743256">
        <w:rPr>
          <w:rFonts w:asciiTheme="minorHAnsi" w:hAnsiTheme="minorHAnsi" w:cs="Mongolian Baiti"/>
          <w:color w:val="auto"/>
          <w:sz w:val="20"/>
        </w:rPr>
        <w:br/>
        <w:t xml:space="preserve">Website: </w:t>
      </w:r>
      <w:hyperlink r:id="rId28" w:tgtFrame="_new" w:history="1">
        <w:r w:rsidRPr="00743256">
          <w:rPr>
            <w:rStyle w:val="Hyperlink"/>
            <w:rFonts w:asciiTheme="minorHAnsi" w:hAnsiTheme="minorHAnsi" w:cs="Mongolian Baiti"/>
            <w:color w:val="auto"/>
            <w:sz w:val="20"/>
          </w:rPr>
          <w:t>www.ico.org.uk</w:t>
        </w:r>
      </w:hyperlink>
      <w:r w:rsidRPr="00743256">
        <w:rPr>
          <w:rFonts w:asciiTheme="minorHAnsi" w:hAnsiTheme="minorHAnsi" w:cs="Mongolian Baiti"/>
          <w:color w:val="auto"/>
          <w:sz w:val="20"/>
        </w:rPr>
        <w:br/>
        <w:t>Phone: 0303 123 1113</w:t>
      </w:r>
    </w:p>
    <w:p w14:paraId="104A799B" w14:textId="77777777" w:rsidR="00743256" w:rsidRPr="00743256" w:rsidRDefault="00743256" w:rsidP="00743256">
      <w:pPr>
        <w:pStyle w:val="NormalWeb"/>
        <w:spacing w:before="0" w:after="0"/>
        <w:rPr>
          <w:rFonts w:asciiTheme="minorHAnsi" w:hAnsiTheme="minorHAnsi" w:cs="Mongolian Baiti"/>
          <w:color w:val="auto"/>
          <w:sz w:val="20"/>
        </w:rPr>
      </w:pPr>
    </w:p>
    <w:p w14:paraId="1427F8E4" w14:textId="77777777" w:rsidR="00743256" w:rsidRPr="00743256" w:rsidRDefault="00743256" w:rsidP="00743256">
      <w:pPr>
        <w:pStyle w:val="Heading3"/>
        <w:spacing w:before="0"/>
        <w:rPr>
          <w:rStyle w:val="Strong"/>
          <w:rFonts w:asciiTheme="minorHAnsi" w:hAnsiTheme="minorHAnsi" w:cs="Mongolian Baiti"/>
          <w:b w:val="0"/>
          <w:bCs w:val="0"/>
          <w:color w:val="auto"/>
          <w:sz w:val="20"/>
          <w:szCs w:val="20"/>
        </w:rPr>
      </w:pPr>
      <w:r w:rsidRPr="00743256">
        <w:rPr>
          <w:rStyle w:val="Strong"/>
          <w:rFonts w:asciiTheme="minorHAnsi" w:hAnsiTheme="minorHAnsi" w:cs="Mongolian Baiti"/>
          <w:b w:val="0"/>
          <w:bCs w:val="0"/>
          <w:color w:val="auto"/>
          <w:sz w:val="20"/>
          <w:szCs w:val="20"/>
        </w:rPr>
        <w:t>Changes to this privacy notice.</w:t>
      </w:r>
    </w:p>
    <w:p w14:paraId="5C84048A" w14:textId="77777777" w:rsidR="00743256" w:rsidRPr="00743256" w:rsidRDefault="00743256" w:rsidP="00743256">
      <w:pPr>
        <w:pStyle w:val="Heading3"/>
        <w:spacing w:before="0"/>
        <w:rPr>
          <w:rFonts w:asciiTheme="minorHAnsi" w:hAnsiTheme="minorHAnsi" w:cs="Mongolian Baiti"/>
          <w:color w:val="auto"/>
          <w:sz w:val="20"/>
          <w:szCs w:val="20"/>
        </w:rPr>
      </w:pPr>
      <w:r w:rsidRPr="00743256">
        <w:rPr>
          <w:rFonts w:asciiTheme="minorHAnsi" w:hAnsiTheme="minorHAnsi" w:cs="Mongolian Baiti"/>
          <w:color w:val="auto"/>
          <w:sz w:val="20"/>
          <w:szCs w:val="20"/>
        </w:rPr>
        <w:t>We may update this privacy notice from time to time to reflect changes in our practices, legal requirements, or other factors. Any updates will be posted on our website, and we encourage you to review this notice periodically to stay informed about how we protect your privacy.</w:t>
      </w:r>
    </w:p>
    <w:p w14:paraId="4FAF076F" w14:textId="77777777" w:rsidR="00743256" w:rsidRPr="00743256" w:rsidRDefault="00743256" w:rsidP="00743256">
      <w:pPr>
        <w:spacing w:after="0"/>
        <w:rPr>
          <w:rFonts w:cs="Mongolian Baiti"/>
          <w:color w:val="747474"/>
        </w:rPr>
      </w:pPr>
    </w:p>
    <w:p w14:paraId="692DC769" w14:textId="00C23944" w:rsidR="00DF64EE" w:rsidRPr="00743256" w:rsidRDefault="00DF64EE">
      <w:r w:rsidRPr="00743256">
        <w:br w:type="page"/>
      </w:r>
    </w:p>
    <w:p w14:paraId="02B983A8" w14:textId="793E869D" w:rsidR="00F154EC" w:rsidRPr="00743256" w:rsidRDefault="00DF64EE" w:rsidP="005C0C7C">
      <w:pPr>
        <w:spacing w:after="0"/>
        <w:rPr>
          <w:b/>
        </w:rPr>
      </w:pPr>
      <w:r w:rsidRPr="00743256">
        <w:rPr>
          <w:b/>
        </w:rPr>
        <w:lastRenderedPageBreak/>
        <w:t>APPENDIX 2</w:t>
      </w:r>
    </w:p>
    <w:p w14:paraId="41C2D6C0" w14:textId="54901C20" w:rsidR="00DF64EE" w:rsidRPr="00743256" w:rsidRDefault="00DF64EE" w:rsidP="00DF64EE">
      <w:pPr>
        <w:pStyle w:val="NoSpacing"/>
        <w:rPr>
          <w:rStyle w:val="Emphasis"/>
          <w:rFonts w:cs="Arial"/>
          <w:i w:val="0"/>
          <w:iCs w:val="0"/>
          <w:color w:val="000000"/>
        </w:rPr>
      </w:pPr>
      <w:r w:rsidRPr="00743256">
        <w:rPr>
          <w:rStyle w:val="Strong"/>
          <w:rFonts w:cs="Arial"/>
          <w:color w:val="000000"/>
          <w:sz w:val="28"/>
          <w:szCs w:val="28"/>
        </w:rPr>
        <w:t>Coronavirus (COVID-19) pandemic and your information</w:t>
      </w:r>
      <w:r w:rsidRPr="00743256">
        <w:br/>
      </w:r>
      <w:r w:rsidRPr="00743256">
        <w:rPr>
          <w:rStyle w:val="Emphasis"/>
          <w:rFonts w:cs="Arial"/>
          <w:i w:val="0"/>
          <w:iCs w:val="0"/>
          <w:color w:val="000000"/>
        </w:rPr>
        <w:t>The ICO recognises the unprecedented challenges the NHS and other health professionals are facing during the COVID-19 pandemic.</w:t>
      </w:r>
    </w:p>
    <w:p w14:paraId="3793CAF2" w14:textId="77777777" w:rsidR="00DF64EE" w:rsidRPr="00743256" w:rsidRDefault="00DF64EE" w:rsidP="00DF64EE">
      <w:pPr>
        <w:pStyle w:val="NoSpacing"/>
      </w:pPr>
    </w:p>
    <w:p w14:paraId="14ACB69B" w14:textId="77777777" w:rsidR="00DF64EE" w:rsidRPr="00743256" w:rsidRDefault="00DF64EE" w:rsidP="00DF64EE">
      <w:pPr>
        <w:pStyle w:val="NoSpacing"/>
        <w:rPr>
          <w:rStyle w:val="Emphasis"/>
          <w:rFonts w:cs="Arial"/>
          <w:i w:val="0"/>
          <w:iCs w:val="0"/>
          <w:color w:val="000000"/>
        </w:rPr>
      </w:pPr>
      <w:r w:rsidRPr="00743256">
        <w:rPr>
          <w:rStyle w:val="Emphasis"/>
          <w:rFonts w:cs="Arial"/>
          <w:i w:val="0"/>
          <w:iCs w:val="0"/>
          <w:color w:val="000000"/>
        </w:rPr>
        <w:t>The ICO also recognise that 'Public bodies may require additional collection and sharing of personal data to protect against serious threats to public health.'</w:t>
      </w:r>
    </w:p>
    <w:p w14:paraId="0D2FC441" w14:textId="77777777" w:rsidR="00DF64EE" w:rsidRPr="00743256" w:rsidRDefault="00DF64EE" w:rsidP="00DF64EE">
      <w:pPr>
        <w:pStyle w:val="NoSpacing"/>
        <w:rPr>
          <w:rStyle w:val="Emphasis"/>
          <w:rFonts w:cs="Arial"/>
          <w:i w:val="0"/>
          <w:iCs w:val="0"/>
          <w:color w:val="000000"/>
        </w:rPr>
      </w:pPr>
      <w:r w:rsidRPr="00743256">
        <w:br/>
      </w:r>
      <w:r w:rsidRPr="00743256">
        <w:rPr>
          <w:rStyle w:val="Emphasis"/>
          <w:rFonts w:cs="Arial"/>
          <w:i w:val="0"/>
          <w:iCs w:val="0"/>
          <w:color w:val="000000"/>
        </w:rPr>
        <w:t>The Government have also taken action in respect of this and on 20th March 2020 the Secretary of State for Health and Social Care issued a notice under Regulation 3(4) of the Health Service (Control of Patient Information) Regulations 2002 requiring organisations such as GP Practices to use your information to help GP Practices and other healthcare organisations to respond to and deal with the COVID-19 pandemic.</w:t>
      </w:r>
    </w:p>
    <w:p w14:paraId="6AB54FE0" w14:textId="4FF5EB1D" w:rsidR="00DF64EE" w:rsidRPr="00743256" w:rsidRDefault="00DF64EE" w:rsidP="00DF64EE">
      <w:pPr>
        <w:pStyle w:val="NoSpacing"/>
        <w:rPr>
          <w:rStyle w:val="Emphasis"/>
          <w:rFonts w:cs="Arial"/>
          <w:i w:val="0"/>
          <w:iCs w:val="0"/>
          <w:color w:val="000000"/>
        </w:rPr>
      </w:pPr>
      <w:r w:rsidRPr="00743256">
        <w:br/>
      </w:r>
      <w:r w:rsidRPr="00743256">
        <w:rPr>
          <w:rStyle w:val="Emphasis"/>
          <w:rFonts w:cs="Arial"/>
          <w:i w:val="0"/>
          <w:iCs w:val="0"/>
          <w:color w:val="000000"/>
        </w:rPr>
        <w:t>Please note that this notice has now been revised and extended by a further notice from 10 September 2021 until 31st March 2022.</w:t>
      </w:r>
    </w:p>
    <w:p w14:paraId="28498CF5" w14:textId="77777777" w:rsidR="00DF64EE" w:rsidRPr="00743256" w:rsidRDefault="00DF64EE" w:rsidP="00DF64EE">
      <w:pPr>
        <w:pStyle w:val="NoSpacing"/>
      </w:pPr>
    </w:p>
    <w:p w14:paraId="48C63332" w14:textId="5C1F796E" w:rsidR="00DF64EE" w:rsidRPr="00743256" w:rsidRDefault="00DF64EE" w:rsidP="00DF64EE">
      <w:pPr>
        <w:pStyle w:val="NoSpacing"/>
        <w:rPr>
          <w:rStyle w:val="Emphasis"/>
          <w:rFonts w:cs="Arial"/>
          <w:i w:val="0"/>
          <w:iCs w:val="0"/>
          <w:color w:val="000000"/>
        </w:rPr>
      </w:pPr>
      <w:r w:rsidRPr="00743256">
        <w:rPr>
          <w:rStyle w:val="Emphasis"/>
          <w:rFonts w:cs="Arial"/>
          <w:i w:val="0"/>
          <w:iCs w:val="0"/>
          <w:color w:val="000000"/>
        </w:rPr>
        <w:t>In order to look after your healthcare needs during this difficult time, we may urgently need to share your personal information, including medical records, with clinical and non clinical staff who belong to organisations that are permitted to use your information and need to use it to help deal with the COVID-19 pandemic. This could (amongst other measures) consist of either treating you or a member of your family and enable us and other healthcare organisations to monitor the disease, assess risk and manage the spread of the disease. Additionally, the use of your information is now required to support NHS Test and Trace.</w:t>
      </w:r>
    </w:p>
    <w:p w14:paraId="3E8266F9" w14:textId="77777777" w:rsidR="00DF64EE" w:rsidRPr="00743256" w:rsidRDefault="00DF64EE" w:rsidP="00DF64EE">
      <w:pPr>
        <w:pStyle w:val="NoSpacing"/>
      </w:pPr>
    </w:p>
    <w:p w14:paraId="149C09FD" w14:textId="77777777" w:rsidR="00DF64EE" w:rsidRPr="00743256" w:rsidRDefault="00DF64EE" w:rsidP="00DF64EE">
      <w:pPr>
        <w:pStyle w:val="NoSpacing"/>
        <w:rPr>
          <w:rStyle w:val="Emphasis"/>
          <w:rFonts w:cs="Arial"/>
          <w:i w:val="0"/>
          <w:iCs w:val="0"/>
          <w:color w:val="000000"/>
        </w:rPr>
      </w:pPr>
      <w:r w:rsidRPr="00743256">
        <w:rPr>
          <w:rStyle w:val="Emphasis"/>
          <w:rFonts w:cs="Arial"/>
          <w:i w:val="0"/>
          <w:iCs w:val="0"/>
          <w:color w:val="000000"/>
        </w:rPr>
        <w:t>Please be assured that we will only share information and health data that is necessary to meet yours and public healthcare needs.</w:t>
      </w:r>
    </w:p>
    <w:p w14:paraId="76A6D170" w14:textId="0953C606" w:rsidR="00DF64EE" w:rsidRPr="00743256" w:rsidRDefault="00DF64EE" w:rsidP="00DF64EE">
      <w:pPr>
        <w:pStyle w:val="NoSpacing"/>
        <w:rPr>
          <w:rStyle w:val="Emphasis"/>
          <w:rFonts w:cs="Arial"/>
          <w:i w:val="0"/>
          <w:iCs w:val="0"/>
          <w:color w:val="000000"/>
        </w:rPr>
      </w:pPr>
      <w:r w:rsidRPr="00743256">
        <w:br/>
      </w:r>
      <w:r w:rsidRPr="00743256">
        <w:rPr>
          <w:rStyle w:val="Emphasis"/>
          <w:rFonts w:cs="Arial"/>
          <w:i w:val="0"/>
          <w:iCs w:val="0"/>
          <w:color w:val="000000"/>
        </w:rPr>
        <w:t>The Secretary of State for Health and Social Care has also stated that these measures are temporary and will expire on 31st March 2022 unless a further extension is required. Any further extension will be provided in writing and we will communicate the same to you.</w:t>
      </w:r>
    </w:p>
    <w:p w14:paraId="6DE09B95" w14:textId="77777777" w:rsidR="00DF64EE" w:rsidRPr="00743256" w:rsidRDefault="00DF64EE" w:rsidP="00DF64EE">
      <w:pPr>
        <w:pStyle w:val="NoSpacing"/>
      </w:pPr>
    </w:p>
    <w:p w14:paraId="78BDB271" w14:textId="71A2E557" w:rsidR="00DF64EE" w:rsidRPr="00743256" w:rsidRDefault="00DF64EE" w:rsidP="00DF64EE">
      <w:pPr>
        <w:pStyle w:val="NoSpacing"/>
        <w:rPr>
          <w:rStyle w:val="Emphasis"/>
          <w:rFonts w:cs="Arial"/>
          <w:i w:val="0"/>
          <w:iCs w:val="0"/>
          <w:color w:val="000000"/>
        </w:rPr>
      </w:pPr>
      <w:r w:rsidRPr="00743256">
        <w:rPr>
          <w:rStyle w:val="Emphasis"/>
          <w:rFonts w:cs="Arial"/>
          <w:i w:val="0"/>
          <w:iCs w:val="0"/>
          <w:color w:val="000000"/>
        </w:rPr>
        <w:t>Please also note that the data protection and electronic communication laws do not stop us from sending public health messages to you, either by phone, text or email as these messages are not direct marketing.</w:t>
      </w:r>
    </w:p>
    <w:p w14:paraId="11452FCC" w14:textId="77777777" w:rsidR="00DF64EE" w:rsidRPr="00743256" w:rsidRDefault="00DF64EE" w:rsidP="00DF64EE">
      <w:pPr>
        <w:pStyle w:val="NoSpacing"/>
      </w:pPr>
    </w:p>
    <w:p w14:paraId="7759E4A8" w14:textId="77777777" w:rsidR="00DF64EE" w:rsidRPr="00743256" w:rsidRDefault="00DF64EE" w:rsidP="00DF64EE">
      <w:pPr>
        <w:pStyle w:val="NoSpacing"/>
        <w:rPr>
          <w:rStyle w:val="Emphasis"/>
          <w:rFonts w:cs="Arial"/>
          <w:i w:val="0"/>
          <w:iCs w:val="0"/>
          <w:color w:val="000000"/>
        </w:rPr>
      </w:pPr>
      <w:r w:rsidRPr="00743256">
        <w:rPr>
          <w:rStyle w:val="Emphasis"/>
          <w:rFonts w:cs="Arial"/>
          <w:i w:val="0"/>
          <w:iCs w:val="0"/>
          <w:color w:val="000000"/>
        </w:rPr>
        <w:t>It may also be necessary, where the latest technology allows us to do so, to use your information and health data to facilitate digital consultations and diagnoses and we will always do this with your security in mind.</w:t>
      </w:r>
    </w:p>
    <w:p w14:paraId="20738387" w14:textId="6146E206" w:rsidR="00DF64EE" w:rsidRPr="00743256" w:rsidRDefault="00DF64EE" w:rsidP="00DF64EE">
      <w:pPr>
        <w:pStyle w:val="NoSpacing"/>
      </w:pPr>
      <w:r w:rsidRPr="00743256">
        <w:br/>
      </w:r>
      <w:r w:rsidRPr="00743256">
        <w:rPr>
          <w:rStyle w:val="Emphasis"/>
          <w:rFonts w:cs="Arial"/>
          <w:i w:val="0"/>
          <w:iCs w:val="0"/>
          <w:color w:val="000000"/>
        </w:rPr>
        <w:t>If you are concerned about how your information is being used, please contact our DPO using the contact details provided in this Privacy Notice.</w:t>
      </w:r>
    </w:p>
    <w:p w14:paraId="6EBF3217" w14:textId="77777777" w:rsidR="00DF64EE" w:rsidRPr="00743256" w:rsidRDefault="00DF64EE" w:rsidP="005C0C7C">
      <w:pPr>
        <w:spacing w:after="0"/>
        <w:rPr>
          <w:b/>
        </w:rPr>
      </w:pPr>
    </w:p>
    <w:sectPr w:rsidR="00DF64EE" w:rsidRPr="00743256" w:rsidSect="00463F05">
      <w:headerReference w:type="default" r:id="rId29"/>
      <w:footerReference w:type="default" r:id="rId30"/>
      <w:pgSz w:w="11907" w:h="16839" w:code="9"/>
      <w:pgMar w:top="2520" w:right="1512" w:bottom="1800" w:left="1512" w:header="1304"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81C071" w14:textId="77777777" w:rsidR="00AE0230" w:rsidRDefault="00AE0230">
      <w:pPr>
        <w:spacing w:after="0" w:line="240" w:lineRule="auto"/>
      </w:pPr>
      <w:r>
        <w:separator/>
      </w:r>
    </w:p>
  </w:endnote>
  <w:endnote w:type="continuationSeparator" w:id="0">
    <w:p w14:paraId="444AFBC7" w14:textId="77777777" w:rsidR="00AE0230" w:rsidRDefault="00AE02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GGothicM">
    <w:altName w:val="HGｺﾞｼｯｸM"/>
    <w:panose1 w:val="00000000000000000000"/>
    <w:charset w:val="80"/>
    <w:family w:val="roman"/>
    <w:notTrueType/>
    <w:pitch w:val="default"/>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GMinchoB">
    <w:altName w:val="HG明朝B"/>
    <w:panose1 w:val="00000000000000000000"/>
    <w:charset w:val="80"/>
    <w:family w:val="roman"/>
    <w:notTrueType/>
    <w:pitch w:val="default"/>
  </w:font>
  <w:font w:name="Open Sans">
    <w:charset w:val="00"/>
    <w:family w:val="swiss"/>
    <w:pitch w:val="variable"/>
    <w:sig w:usb0="E00002EF" w:usb1="4000205B" w:usb2="00000028" w:usb3="00000000" w:csb0="0000019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E665A" w14:textId="77777777" w:rsidR="00DE5CDA" w:rsidRDefault="00DE5CDA">
    <w:pPr>
      <w:pStyle w:val="Footer"/>
    </w:pPr>
    <w:r>
      <w:t xml:space="preserve">Page </w:t>
    </w:r>
    <w:r>
      <w:fldChar w:fldCharType="begin"/>
    </w:r>
    <w:r>
      <w:instrText xml:space="preserve"> page </w:instrText>
    </w:r>
    <w:r>
      <w:fldChar w:fldCharType="separate"/>
    </w:r>
    <w:r w:rsidR="00DC4626">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9FFB6A" w14:textId="77777777" w:rsidR="00AE0230" w:rsidRDefault="00AE0230">
      <w:pPr>
        <w:spacing w:after="0" w:line="240" w:lineRule="auto"/>
      </w:pPr>
      <w:r>
        <w:separator/>
      </w:r>
    </w:p>
  </w:footnote>
  <w:footnote w:type="continuationSeparator" w:id="0">
    <w:p w14:paraId="3604AD87" w14:textId="77777777" w:rsidR="00AE0230" w:rsidRDefault="00AE02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3E2B5" w14:textId="77777777" w:rsidR="00DE5CDA" w:rsidRDefault="00DE5CDA" w:rsidP="0058040C">
    <w:pPr>
      <w:pStyle w:val="Header"/>
    </w:pPr>
    <w:r>
      <w:t>Table of Contents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6C372" w14:textId="35AC82B5" w:rsidR="00DE5CDA" w:rsidRDefault="00DE5CDA" w:rsidP="0058040C">
    <w:pPr>
      <w:pStyle w:val="Header"/>
    </w:pPr>
    <w:r>
      <w:fldChar w:fldCharType="begin"/>
    </w:r>
    <w:r>
      <w:instrText xml:space="preserve"> If </w:instrText>
    </w:r>
    <w:r>
      <w:fldChar w:fldCharType="begin"/>
    </w:r>
    <w:r>
      <w:instrText xml:space="preserve"> STYLEREF “Heading 1”</w:instrText>
    </w:r>
    <w:r>
      <w:fldChar w:fldCharType="separate"/>
    </w:r>
    <w:r w:rsidR="00E929AC">
      <w:rPr>
        <w:noProof/>
      </w:rPr>
      <w:instrText>Electronic Patient Records (EPR) system</w:instrText>
    </w:r>
    <w:r>
      <w:rPr>
        <w:noProof/>
      </w:rPr>
      <w:fldChar w:fldCharType="end"/>
    </w:r>
    <w:r>
      <w:instrText>&lt;&gt; “Error*” “</w:instrText>
    </w:r>
    <w:r>
      <w:fldChar w:fldCharType="begin"/>
    </w:r>
    <w:r>
      <w:instrText xml:space="preserve"> STYLEREF “Heading 1”</w:instrText>
    </w:r>
    <w:r>
      <w:fldChar w:fldCharType="separate"/>
    </w:r>
    <w:r w:rsidR="00E929AC">
      <w:rPr>
        <w:noProof/>
      </w:rPr>
      <w:instrText>Electronic Patient Records (EPR) system</w:instrText>
    </w:r>
    <w:r>
      <w:rPr>
        <w:noProof/>
      </w:rPr>
      <w:fldChar w:fldCharType="end"/>
    </w:r>
    <w:r>
      <w:fldChar w:fldCharType="separate"/>
    </w:r>
    <w:r w:rsidR="00E929AC">
      <w:rPr>
        <w:noProof/>
      </w:rPr>
      <w:t>Electronic Patient Records (EPR) system</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BB440C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8AC7B0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21A4EE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114C0A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6E8615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F8230A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CF4A9A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F86DD2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6E8B7AE"/>
    <w:lvl w:ilvl="0">
      <w:start w:val="1"/>
      <w:numFmt w:val="decimal"/>
      <w:lvlText w:val="%1."/>
      <w:lvlJc w:val="left"/>
      <w:pPr>
        <w:ind w:left="360" w:hanging="360"/>
      </w:pPr>
    </w:lvl>
  </w:abstractNum>
  <w:abstractNum w:abstractNumId="9" w15:restartNumberingAfterBreak="0">
    <w:nsid w:val="FFFFFF89"/>
    <w:multiLevelType w:val="singleLevel"/>
    <w:tmpl w:val="5ED8F60A"/>
    <w:lvl w:ilvl="0">
      <w:start w:val="1"/>
      <w:numFmt w:val="bullet"/>
      <w:lvlText w:val="•"/>
      <w:lvlJc w:val="left"/>
      <w:pPr>
        <w:ind w:left="360" w:hanging="360"/>
      </w:pPr>
      <w:rPr>
        <w:rFonts w:ascii="Cambria" w:hAnsi="Cambria" w:hint="default"/>
        <w:color w:val="7E97AD" w:themeColor="accent1"/>
      </w:rPr>
    </w:lvl>
  </w:abstractNum>
  <w:abstractNum w:abstractNumId="10" w15:restartNumberingAfterBreak="0">
    <w:nsid w:val="03B32190"/>
    <w:multiLevelType w:val="multilevel"/>
    <w:tmpl w:val="9CA4ABB8"/>
    <w:numStyleLink w:val="AnnualReport"/>
  </w:abstractNum>
  <w:abstractNum w:abstractNumId="11" w15:restartNumberingAfterBreak="0">
    <w:nsid w:val="079D3479"/>
    <w:multiLevelType w:val="hybridMultilevel"/>
    <w:tmpl w:val="9DD20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4BE6CC9"/>
    <w:multiLevelType w:val="hybridMultilevel"/>
    <w:tmpl w:val="57EC5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B6F205A"/>
    <w:multiLevelType w:val="multilevel"/>
    <w:tmpl w:val="9CA4ABB8"/>
    <w:styleLink w:val="AnnualReport"/>
    <w:lvl w:ilvl="0">
      <w:start w:val="1"/>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lowerLetter"/>
      <w:lvlText w:val="%3."/>
      <w:lvlJc w:val="left"/>
      <w:pPr>
        <w:ind w:left="720" w:hanging="360"/>
      </w:pPr>
      <w:rPr>
        <w:rFonts w:hint="default"/>
      </w:rPr>
    </w:lvl>
    <w:lvl w:ilvl="3">
      <w:start w:val="1"/>
      <w:numFmt w:val="lowerRoman"/>
      <w:lvlText w:val="%4."/>
      <w:lvlJc w:val="left"/>
      <w:pPr>
        <w:ind w:left="108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CBE57EB"/>
    <w:multiLevelType w:val="hybridMultilevel"/>
    <w:tmpl w:val="148448F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2129609D"/>
    <w:multiLevelType w:val="multilevel"/>
    <w:tmpl w:val="DE969D0E"/>
    <w:lvl w:ilvl="0">
      <w:start w:val="1"/>
      <w:numFmt w:val="decimal"/>
      <w:lvlText w:val="%1."/>
      <w:lvlJc w:val="left"/>
      <w:pPr>
        <w:ind w:left="360" w:hanging="360"/>
      </w:pPr>
      <w:rPr>
        <w:rFonts w:hint="default"/>
      </w:rPr>
    </w:lvl>
    <w:lvl w:ilvl="1">
      <w:start w:val="1"/>
      <w:numFmt w:val="decimal"/>
      <w:pStyle w:val="ListNumber"/>
      <w:lvlText w:val="%1.%2"/>
      <w:lvlJc w:val="left"/>
      <w:pPr>
        <w:tabs>
          <w:tab w:val="num" w:pos="432"/>
        </w:tabs>
        <w:ind w:left="432" w:hanging="432"/>
      </w:pPr>
      <w:rPr>
        <w:rFonts w:hint="default"/>
      </w:rPr>
    </w:lvl>
    <w:lvl w:ilvl="2">
      <w:start w:val="1"/>
      <w:numFmt w:val="lowerLetter"/>
      <w:lvlText w:val="%3."/>
      <w:lvlJc w:val="left"/>
      <w:pPr>
        <w:ind w:left="792" w:hanging="360"/>
      </w:pPr>
      <w:rPr>
        <w:rFonts w:hint="default"/>
      </w:rPr>
    </w:lvl>
    <w:lvl w:ilvl="3">
      <w:start w:val="1"/>
      <w:numFmt w:val="lowerRoman"/>
      <w:lvlText w:val="%4."/>
      <w:lvlJc w:val="left"/>
      <w:pPr>
        <w:ind w:left="1152" w:hanging="360"/>
      </w:pPr>
      <w:rPr>
        <w:rFonts w:hint="default"/>
      </w:rPr>
    </w:lvl>
    <w:lvl w:ilvl="4">
      <w:start w:val="1"/>
      <w:numFmt w:val="lowerLetter"/>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abstractNum w:abstractNumId="16" w15:restartNumberingAfterBreak="0">
    <w:nsid w:val="24D945DC"/>
    <w:multiLevelType w:val="hybridMultilevel"/>
    <w:tmpl w:val="B8F0551E"/>
    <w:lvl w:ilvl="0" w:tplc="0ECADE00">
      <w:numFmt w:val="bullet"/>
      <w:lvlText w:val="•"/>
      <w:lvlJc w:val="left"/>
      <w:pPr>
        <w:ind w:left="720" w:hanging="360"/>
      </w:pPr>
      <w:rPr>
        <w:rFonts w:ascii="Cambria" w:eastAsiaTheme="minorHAnsi"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4DA7F7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688601F"/>
    <w:multiLevelType w:val="hybridMultilevel"/>
    <w:tmpl w:val="A78AE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7B4629F"/>
    <w:multiLevelType w:val="hybridMultilevel"/>
    <w:tmpl w:val="63F2A67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D502115"/>
    <w:multiLevelType w:val="hybridMultilevel"/>
    <w:tmpl w:val="9392B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619179F"/>
    <w:multiLevelType w:val="hybridMultilevel"/>
    <w:tmpl w:val="D764ACD2"/>
    <w:lvl w:ilvl="0" w:tplc="98C43506">
      <w:start w:val="1"/>
      <w:numFmt w:val="bullet"/>
      <w:lvlText w:val="-"/>
      <w:lvlJc w:val="left"/>
      <w:pPr>
        <w:tabs>
          <w:tab w:val="num" w:pos="936"/>
        </w:tabs>
        <w:ind w:left="936" w:hanging="216"/>
      </w:pPr>
      <w:rPr>
        <w:rFonts w:ascii="Cambria"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67F6A45"/>
    <w:multiLevelType w:val="multilevel"/>
    <w:tmpl w:val="30FED030"/>
    <w:lvl w:ilvl="0">
      <w:start w:val="1"/>
      <w:numFmt w:val="decimal"/>
      <w:lvlText w:val="%1."/>
      <w:lvlJc w:val="left"/>
      <w:pPr>
        <w:ind w:left="360" w:hanging="360"/>
      </w:pPr>
      <w:rPr>
        <w:rFonts w:hint="default"/>
      </w:rPr>
    </w:lvl>
    <w:lvl w:ilvl="1">
      <w:start w:val="1"/>
      <w:numFmt w:val="decimal"/>
      <w:lvlText w:val="%1.%2"/>
      <w:lvlJc w:val="left"/>
      <w:pPr>
        <w:tabs>
          <w:tab w:val="num" w:pos="432"/>
        </w:tabs>
        <w:ind w:left="432" w:hanging="432"/>
      </w:pPr>
      <w:rPr>
        <w:rFonts w:hint="default"/>
      </w:rPr>
    </w:lvl>
    <w:lvl w:ilvl="2">
      <w:start w:val="1"/>
      <w:numFmt w:val="lowerLetter"/>
      <w:lvlText w:val="%3."/>
      <w:lvlJc w:val="left"/>
      <w:pPr>
        <w:ind w:left="792" w:hanging="360"/>
      </w:pPr>
      <w:rPr>
        <w:rFonts w:hint="default"/>
      </w:rPr>
    </w:lvl>
    <w:lvl w:ilvl="3">
      <w:start w:val="1"/>
      <w:numFmt w:val="lowerRoman"/>
      <w:lvlText w:val="%4."/>
      <w:lvlJc w:val="left"/>
      <w:pPr>
        <w:ind w:left="1152" w:hanging="360"/>
      </w:pPr>
      <w:rPr>
        <w:rFonts w:hint="default"/>
      </w:rPr>
    </w:lvl>
    <w:lvl w:ilvl="4">
      <w:start w:val="1"/>
      <w:numFmt w:val="lowerLetter"/>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abstractNum w:abstractNumId="23" w15:restartNumberingAfterBreak="0">
    <w:nsid w:val="36B740A9"/>
    <w:multiLevelType w:val="hybridMultilevel"/>
    <w:tmpl w:val="93861910"/>
    <w:lvl w:ilvl="0" w:tplc="0ECADE00">
      <w:numFmt w:val="bullet"/>
      <w:lvlText w:val="•"/>
      <w:lvlJc w:val="left"/>
      <w:pPr>
        <w:ind w:left="720" w:hanging="360"/>
      </w:pPr>
      <w:rPr>
        <w:rFonts w:ascii="Cambria" w:eastAsiaTheme="minorHAnsi"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C5E12BA"/>
    <w:multiLevelType w:val="hybridMultilevel"/>
    <w:tmpl w:val="5ABC5CDA"/>
    <w:lvl w:ilvl="0" w:tplc="0ECADE00">
      <w:numFmt w:val="bullet"/>
      <w:lvlText w:val="•"/>
      <w:lvlJc w:val="left"/>
      <w:pPr>
        <w:ind w:left="720" w:hanging="360"/>
      </w:pPr>
      <w:rPr>
        <w:rFonts w:ascii="Cambria" w:eastAsiaTheme="minorHAnsi" w:hAnsi="Cambria"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56F7687"/>
    <w:multiLevelType w:val="hybridMultilevel"/>
    <w:tmpl w:val="52DE7AF6"/>
    <w:lvl w:ilvl="0" w:tplc="73BE9B40">
      <w:numFmt w:val="bullet"/>
      <w:lvlText w:val="-"/>
      <w:lvlJc w:val="left"/>
      <w:pPr>
        <w:ind w:left="360" w:hanging="360"/>
      </w:pPr>
      <w:rPr>
        <w:rFonts w:ascii="Cambria" w:eastAsiaTheme="minorHAnsi" w:hAnsi="Cambria"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DAD3953"/>
    <w:multiLevelType w:val="hybridMultilevel"/>
    <w:tmpl w:val="853017EE"/>
    <w:lvl w:ilvl="0" w:tplc="0ECADE00">
      <w:numFmt w:val="bullet"/>
      <w:lvlText w:val="•"/>
      <w:lvlJc w:val="left"/>
      <w:pPr>
        <w:ind w:left="720" w:hanging="360"/>
      </w:pPr>
      <w:rPr>
        <w:rFonts w:ascii="Cambria" w:eastAsiaTheme="minorHAnsi" w:hAnsi="Cambria"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16B3996"/>
    <w:multiLevelType w:val="hybridMultilevel"/>
    <w:tmpl w:val="BA7240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1D931A1"/>
    <w:multiLevelType w:val="hybridMultilevel"/>
    <w:tmpl w:val="5F223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2AA1DB9"/>
    <w:multiLevelType w:val="hybridMultilevel"/>
    <w:tmpl w:val="DA1C222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CB148F6"/>
    <w:multiLevelType w:val="hybridMultilevel"/>
    <w:tmpl w:val="9F7E2B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DC33E99"/>
    <w:multiLevelType w:val="hybridMultilevel"/>
    <w:tmpl w:val="57224EE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FB27CE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95233DD"/>
    <w:multiLevelType w:val="hybridMultilevel"/>
    <w:tmpl w:val="AB1602F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C5433E5"/>
    <w:multiLevelType w:val="hybridMultilevel"/>
    <w:tmpl w:val="32F2D99C"/>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5" w15:restartNumberingAfterBreak="0">
    <w:nsid w:val="78424943"/>
    <w:multiLevelType w:val="hybridMultilevel"/>
    <w:tmpl w:val="8ACAD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E431919"/>
    <w:multiLevelType w:val="multilevel"/>
    <w:tmpl w:val="4E86DA0E"/>
    <w:lvl w:ilvl="0">
      <w:start w:val="1"/>
      <w:numFmt w:val="bullet"/>
      <w:pStyle w:val="ListBullet"/>
      <w:lvlText w:val=""/>
      <w:lvlJc w:val="left"/>
      <w:pPr>
        <w:tabs>
          <w:tab w:val="num" w:pos="360"/>
        </w:tabs>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7" w15:restartNumberingAfterBreak="0">
    <w:nsid w:val="7F757EE6"/>
    <w:multiLevelType w:val="hybridMultilevel"/>
    <w:tmpl w:val="2214D7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6552425">
    <w:abstractNumId w:val="9"/>
  </w:num>
  <w:num w:numId="2" w16cid:durableId="1027023966">
    <w:abstractNumId w:val="7"/>
  </w:num>
  <w:num w:numId="3" w16cid:durableId="650594542">
    <w:abstractNumId w:val="6"/>
  </w:num>
  <w:num w:numId="4" w16cid:durableId="1314793412">
    <w:abstractNumId w:val="5"/>
  </w:num>
  <w:num w:numId="5" w16cid:durableId="398333443">
    <w:abstractNumId w:val="4"/>
  </w:num>
  <w:num w:numId="6" w16cid:durableId="1597012740">
    <w:abstractNumId w:val="8"/>
  </w:num>
  <w:num w:numId="7" w16cid:durableId="1541626034">
    <w:abstractNumId w:val="3"/>
  </w:num>
  <w:num w:numId="8" w16cid:durableId="1593901568">
    <w:abstractNumId w:val="2"/>
  </w:num>
  <w:num w:numId="9" w16cid:durableId="1313750647">
    <w:abstractNumId w:val="1"/>
  </w:num>
  <w:num w:numId="10" w16cid:durableId="1858880843">
    <w:abstractNumId w:val="0"/>
  </w:num>
  <w:num w:numId="11" w16cid:durableId="1627933075">
    <w:abstractNumId w:val="21"/>
  </w:num>
  <w:num w:numId="12" w16cid:durableId="685713971">
    <w:abstractNumId w:val="9"/>
    <w:lvlOverride w:ilvl="0">
      <w:startOverride w:val="1"/>
    </w:lvlOverride>
  </w:num>
  <w:num w:numId="13" w16cid:durableId="1959488338">
    <w:abstractNumId w:val="9"/>
    <w:lvlOverride w:ilvl="0">
      <w:startOverride w:val="1"/>
    </w:lvlOverride>
  </w:num>
  <w:num w:numId="14" w16cid:durableId="8336171">
    <w:abstractNumId w:val="9"/>
    <w:lvlOverride w:ilvl="0">
      <w:startOverride w:val="1"/>
    </w:lvlOverride>
  </w:num>
  <w:num w:numId="15" w16cid:durableId="922495757">
    <w:abstractNumId w:val="17"/>
  </w:num>
  <w:num w:numId="16" w16cid:durableId="1589582380">
    <w:abstractNumId w:val="32"/>
  </w:num>
  <w:num w:numId="17" w16cid:durableId="1802460609">
    <w:abstractNumId w:val="13"/>
  </w:num>
  <w:num w:numId="18" w16cid:durableId="753208979">
    <w:abstractNumId w:val="10"/>
  </w:num>
  <w:num w:numId="19" w16cid:durableId="2067948574">
    <w:abstractNumId w:val="22"/>
  </w:num>
  <w:num w:numId="20" w16cid:durableId="1057512812">
    <w:abstractNumId w:val="9"/>
  </w:num>
  <w:num w:numId="21" w16cid:durableId="669528954">
    <w:abstractNumId w:val="9"/>
  </w:num>
  <w:num w:numId="22" w16cid:durableId="939723583">
    <w:abstractNumId w:val="9"/>
    <w:lvlOverride w:ilvl="0">
      <w:startOverride w:val="1"/>
    </w:lvlOverride>
  </w:num>
  <w:num w:numId="23" w16cid:durableId="707335310">
    <w:abstractNumId w:val="9"/>
    <w:lvlOverride w:ilvl="0">
      <w:startOverride w:val="1"/>
    </w:lvlOverride>
  </w:num>
  <w:num w:numId="24" w16cid:durableId="893275519">
    <w:abstractNumId w:val="15"/>
  </w:num>
  <w:num w:numId="25" w16cid:durableId="298849388">
    <w:abstractNumId w:val="36"/>
  </w:num>
  <w:num w:numId="26" w16cid:durableId="818379970">
    <w:abstractNumId w:val="28"/>
  </w:num>
  <w:num w:numId="27" w16cid:durableId="196508956">
    <w:abstractNumId w:val="27"/>
  </w:num>
  <w:num w:numId="28" w16cid:durableId="397367995">
    <w:abstractNumId w:val="11"/>
  </w:num>
  <w:num w:numId="29" w16cid:durableId="79525108">
    <w:abstractNumId w:val="26"/>
  </w:num>
  <w:num w:numId="30" w16cid:durableId="266818394">
    <w:abstractNumId w:val="23"/>
  </w:num>
  <w:num w:numId="31" w16cid:durableId="1148284580">
    <w:abstractNumId w:val="24"/>
  </w:num>
  <w:num w:numId="32" w16cid:durableId="1587494484">
    <w:abstractNumId w:val="14"/>
  </w:num>
  <w:num w:numId="33" w16cid:durableId="1607619659">
    <w:abstractNumId w:val="25"/>
  </w:num>
  <w:num w:numId="34" w16cid:durableId="397752741">
    <w:abstractNumId w:val="30"/>
  </w:num>
  <w:num w:numId="35" w16cid:durableId="1282347564">
    <w:abstractNumId w:val="12"/>
  </w:num>
  <w:num w:numId="36" w16cid:durableId="460728039">
    <w:abstractNumId w:val="16"/>
  </w:num>
  <w:num w:numId="37" w16cid:durableId="1298952411">
    <w:abstractNumId w:val="37"/>
  </w:num>
  <w:num w:numId="38" w16cid:durableId="1136491983">
    <w:abstractNumId w:val="20"/>
  </w:num>
  <w:num w:numId="39" w16cid:durableId="825437093">
    <w:abstractNumId w:val="34"/>
  </w:num>
  <w:num w:numId="40" w16cid:durableId="1553885715">
    <w:abstractNumId w:val="18"/>
  </w:num>
  <w:num w:numId="41" w16cid:durableId="741560201">
    <w:abstractNumId w:val="35"/>
  </w:num>
  <w:num w:numId="42" w16cid:durableId="1039626062">
    <w:abstractNumId w:val="29"/>
  </w:num>
  <w:num w:numId="43" w16cid:durableId="1111045407">
    <w:abstractNumId w:val="19"/>
  </w:num>
  <w:num w:numId="44" w16cid:durableId="556937258">
    <w:abstractNumId w:val="33"/>
  </w:num>
  <w:num w:numId="45" w16cid:durableId="139796868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A6D"/>
    <w:rsid w:val="00000549"/>
    <w:rsid w:val="00000DF8"/>
    <w:rsid w:val="000030F0"/>
    <w:rsid w:val="00005789"/>
    <w:rsid w:val="000105DE"/>
    <w:rsid w:val="00013ECD"/>
    <w:rsid w:val="000171FC"/>
    <w:rsid w:val="000236E8"/>
    <w:rsid w:val="00027B3F"/>
    <w:rsid w:val="00036E81"/>
    <w:rsid w:val="00045C23"/>
    <w:rsid w:val="000508F9"/>
    <w:rsid w:val="00051280"/>
    <w:rsid w:val="0007111F"/>
    <w:rsid w:val="00072A0D"/>
    <w:rsid w:val="00072EB6"/>
    <w:rsid w:val="00081184"/>
    <w:rsid w:val="000A237E"/>
    <w:rsid w:val="000A46C0"/>
    <w:rsid w:val="000B1127"/>
    <w:rsid w:val="000C3212"/>
    <w:rsid w:val="000C7E81"/>
    <w:rsid w:val="000D4005"/>
    <w:rsid w:val="000D647D"/>
    <w:rsid w:val="000E1124"/>
    <w:rsid w:val="000F0BC2"/>
    <w:rsid w:val="000F4801"/>
    <w:rsid w:val="00127D96"/>
    <w:rsid w:val="0013265A"/>
    <w:rsid w:val="00135057"/>
    <w:rsid w:val="001404FB"/>
    <w:rsid w:val="00175659"/>
    <w:rsid w:val="001924A2"/>
    <w:rsid w:val="001A1159"/>
    <w:rsid w:val="001A14A8"/>
    <w:rsid w:val="001A1C29"/>
    <w:rsid w:val="001A5652"/>
    <w:rsid w:val="001A7EDF"/>
    <w:rsid w:val="001B34A6"/>
    <w:rsid w:val="001B6C19"/>
    <w:rsid w:val="001B78FC"/>
    <w:rsid w:val="001C0CEC"/>
    <w:rsid w:val="001C2CE9"/>
    <w:rsid w:val="001C46DF"/>
    <w:rsid w:val="001C6E22"/>
    <w:rsid w:val="001D0D73"/>
    <w:rsid w:val="001D3C8D"/>
    <w:rsid w:val="001D42E2"/>
    <w:rsid w:val="001D6DAE"/>
    <w:rsid w:val="001E009A"/>
    <w:rsid w:val="001E2D1A"/>
    <w:rsid w:val="001F1F08"/>
    <w:rsid w:val="001F31E9"/>
    <w:rsid w:val="00200E6D"/>
    <w:rsid w:val="00211615"/>
    <w:rsid w:val="0022486B"/>
    <w:rsid w:val="00227310"/>
    <w:rsid w:val="00234724"/>
    <w:rsid w:val="002434A3"/>
    <w:rsid w:val="002530B3"/>
    <w:rsid w:val="00254A6D"/>
    <w:rsid w:val="00261C5D"/>
    <w:rsid w:val="00262E54"/>
    <w:rsid w:val="00285C07"/>
    <w:rsid w:val="002A01A6"/>
    <w:rsid w:val="002A25B3"/>
    <w:rsid w:val="002A51AE"/>
    <w:rsid w:val="002C4B05"/>
    <w:rsid w:val="002C6D27"/>
    <w:rsid w:val="002D2C14"/>
    <w:rsid w:val="002E4A84"/>
    <w:rsid w:val="002F15B5"/>
    <w:rsid w:val="002F5944"/>
    <w:rsid w:val="00300CDE"/>
    <w:rsid w:val="00307DA1"/>
    <w:rsid w:val="00310C81"/>
    <w:rsid w:val="00323851"/>
    <w:rsid w:val="00327FB8"/>
    <w:rsid w:val="003365A7"/>
    <w:rsid w:val="00355764"/>
    <w:rsid w:val="00360119"/>
    <w:rsid w:val="00390D3A"/>
    <w:rsid w:val="003A61D2"/>
    <w:rsid w:val="003D0A44"/>
    <w:rsid w:val="003D1A2C"/>
    <w:rsid w:val="003E35D1"/>
    <w:rsid w:val="003F3C92"/>
    <w:rsid w:val="003F4ACB"/>
    <w:rsid w:val="00404D6A"/>
    <w:rsid w:val="0041029F"/>
    <w:rsid w:val="00412686"/>
    <w:rsid w:val="00422549"/>
    <w:rsid w:val="00423762"/>
    <w:rsid w:val="00425048"/>
    <w:rsid w:val="00434E47"/>
    <w:rsid w:val="00450F00"/>
    <w:rsid w:val="00463F05"/>
    <w:rsid w:val="00466FF1"/>
    <w:rsid w:val="00482B4F"/>
    <w:rsid w:val="0048304D"/>
    <w:rsid w:val="0048357B"/>
    <w:rsid w:val="004A1AC4"/>
    <w:rsid w:val="004B2D20"/>
    <w:rsid w:val="004B5809"/>
    <w:rsid w:val="004C2677"/>
    <w:rsid w:val="004C3B90"/>
    <w:rsid w:val="004C4574"/>
    <w:rsid w:val="004C4639"/>
    <w:rsid w:val="00500DB2"/>
    <w:rsid w:val="00505073"/>
    <w:rsid w:val="00514F94"/>
    <w:rsid w:val="005203CC"/>
    <w:rsid w:val="005204AA"/>
    <w:rsid w:val="005343B8"/>
    <w:rsid w:val="005350E4"/>
    <w:rsid w:val="00537A6D"/>
    <w:rsid w:val="00544350"/>
    <w:rsid w:val="00544D90"/>
    <w:rsid w:val="005466F2"/>
    <w:rsid w:val="005477A0"/>
    <w:rsid w:val="0055261C"/>
    <w:rsid w:val="00556D5C"/>
    <w:rsid w:val="00557F13"/>
    <w:rsid w:val="0058040C"/>
    <w:rsid w:val="00580CE1"/>
    <w:rsid w:val="00596E61"/>
    <w:rsid w:val="005A7238"/>
    <w:rsid w:val="005B789B"/>
    <w:rsid w:val="005C072C"/>
    <w:rsid w:val="005C0C7C"/>
    <w:rsid w:val="005C3F40"/>
    <w:rsid w:val="005D187D"/>
    <w:rsid w:val="005D2A29"/>
    <w:rsid w:val="005D5E15"/>
    <w:rsid w:val="005E4BD7"/>
    <w:rsid w:val="005E64ED"/>
    <w:rsid w:val="006020C1"/>
    <w:rsid w:val="006024AC"/>
    <w:rsid w:val="00605AB3"/>
    <w:rsid w:val="00613C2B"/>
    <w:rsid w:val="006216E8"/>
    <w:rsid w:val="00624580"/>
    <w:rsid w:val="00624A67"/>
    <w:rsid w:val="006309CA"/>
    <w:rsid w:val="006358FF"/>
    <w:rsid w:val="00636F1B"/>
    <w:rsid w:val="00644551"/>
    <w:rsid w:val="006451F1"/>
    <w:rsid w:val="006658D0"/>
    <w:rsid w:val="0067187F"/>
    <w:rsid w:val="00682813"/>
    <w:rsid w:val="006924B0"/>
    <w:rsid w:val="00696159"/>
    <w:rsid w:val="006C22D4"/>
    <w:rsid w:val="006E1059"/>
    <w:rsid w:val="006E1EC7"/>
    <w:rsid w:val="006E63FE"/>
    <w:rsid w:val="006E6AD7"/>
    <w:rsid w:val="006F689C"/>
    <w:rsid w:val="0070138F"/>
    <w:rsid w:val="00703245"/>
    <w:rsid w:val="00713EBD"/>
    <w:rsid w:val="007154B2"/>
    <w:rsid w:val="00716109"/>
    <w:rsid w:val="0073263E"/>
    <w:rsid w:val="00743256"/>
    <w:rsid w:val="00780B77"/>
    <w:rsid w:val="00784A6F"/>
    <w:rsid w:val="007870FE"/>
    <w:rsid w:val="00787F9C"/>
    <w:rsid w:val="007958B4"/>
    <w:rsid w:val="007A30CC"/>
    <w:rsid w:val="007B46CD"/>
    <w:rsid w:val="007C14E7"/>
    <w:rsid w:val="007D3581"/>
    <w:rsid w:val="007E2156"/>
    <w:rsid w:val="007F1075"/>
    <w:rsid w:val="007F3DC4"/>
    <w:rsid w:val="00800F65"/>
    <w:rsid w:val="00805D6D"/>
    <w:rsid w:val="00807AD1"/>
    <w:rsid w:val="00810397"/>
    <w:rsid w:val="0081200F"/>
    <w:rsid w:val="00841F43"/>
    <w:rsid w:val="008438B9"/>
    <w:rsid w:val="00852244"/>
    <w:rsid w:val="008573AE"/>
    <w:rsid w:val="008717C7"/>
    <w:rsid w:val="008938F1"/>
    <w:rsid w:val="008B04E6"/>
    <w:rsid w:val="008B22F9"/>
    <w:rsid w:val="008B6140"/>
    <w:rsid w:val="008B70AC"/>
    <w:rsid w:val="008B7E10"/>
    <w:rsid w:val="008C524F"/>
    <w:rsid w:val="008C73D4"/>
    <w:rsid w:val="008D3526"/>
    <w:rsid w:val="008D5661"/>
    <w:rsid w:val="008E4198"/>
    <w:rsid w:val="008E7CCD"/>
    <w:rsid w:val="008F46E6"/>
    <w:rsid w:val="008F67BC"/>
    <w:rsid w:val="00900933"/>
    <w:rsid w:val="00920E2F"/>
    <w:rsid w:val="00931A56"/>
    <w:rsid w:val="0093687F"/>
    <w:rsid w:val="00951087"/>
    <w:rsid w:val="00953D3C"/>
    <w:rsid w:val="00954E72"/>
    <w:rsid w:val="00966625"/>
    <w:rsid w:val="0096788D"/>
    <w:rsid w:val="00977792"/>
    <w:rsid w:val="00981EB0"/>
    <w:rsid w:val="0099158B"/>
    <w:rsid w:val="009A0188"/>
    <w:rsid w:val="009A57A5"/>
    <w:rsid w:val="009A783D"/>
    <w:rsid w:val="009B0E88"/>
    <w:rsid w:val="009C5815"/>
    <w:rsid w:val="009C7267"/>
    <w:rsid w:val="009D04A0"/>
    <w:rsid w:val="009E24F9"/>
    <w:rsid w:val="00A02B8B"/>
    <w:rsid w:val="00A117ED"/>
    <w:rsid w:val="00A11A91"/>
    <w:rsid w:val="00A205B2"/>
    <w:rsid w:val="00A241B0"/>
    <w:rsid w:val="00A4341F"/>
    <w:rsid w:val="00A44C16"/>
    <w:rsid w:val="00A55210"/>
    <w:rsid w:val="00A63B3E"/>
    <w:rsid w:val="00A66C90"/>
    <w:rsid w:val="00A71C87"/>
    <w:rsid w:val="00A74694"/>
    <w:rsid w:val="00A76616"/>
    <w:rsid w:val="00A83DC6"/>
    <w:rsid w:val="00A86E6A"/>
    <w:rsid w:val="00A8735D"/>
    <w:rsid w:val="00A9231E"/>
    <w:rsid w:val="00A94219"/>
    <w:rsid w:val="00AA576B"/>
    <w:rsid w:val="00AB348B"/>
    <w:rsid w:val="00AC53DC"/>
    <w:rsid w:val="00AE0230"/>
    <w:rsid w:val="00AE54D2"/>
    <w:rsid w:val="00AF1614"/>
    <w:rsid w:val="00AF7F6D"/>
    <w:rsid w:val="00B00D16"/>
    <w:rsid w:val="00B226CB"/>
    <w:rsid w:val="00B2307B"/>
    <w:rsid w:val="00B37D54"/>
    <w:rsid w:val="00B51CF6"/>
    <w:rsid w:val="00B607DB"/>
    <w:rsid w:val="00B66C1A"/>
    <w:rsid w:val="00B76D07"/>
    <w:rsid w:val="00B76F63"/>
    <w:rsid w:val="00B9042C"/>
    <w:rsid w:val="00BA125F"/>
    <w:rsid w:val="00BA6B5E"/>
    <w:rsid w:val="00BB31B1"/>
    <w:rsid w:val="00BB3A9B"/>
    <w:rsid w:val="00BD244D"/>
    <w:rsid w:val="00BF40D8"/>
    <w:rsid w:val="00BF421C"/>
    <w:rsid w:val="00C05CE5"/>
    <w:rsid w:val="00C17338"/>
    <w:rsid w:val="00C3213C"/>
    <w:rsid w:val="00C32FC9"/>
    <w:rsid w:val="00C45BD1"/>
    <w:rsid w:val="00C46B8D"/>
    <w:rsid w:val="00C53ACE"/>
    <w:rsid w:val="00C548F6"/>
    <w:rsid w:val="00C57A75"/>
    <w:rsid w:val="00C6138B"/>
    <w:rsid w:val="00C64D7C"/>
    <w:rsid w:val="00C661CC"/>
    <w:rsid w:val="00C7259E"/>
    <w:rsid w:val="00C82569"/>
    <w:rsid w:val="00C8582E"/>
    <w:rsid w:val="00C910CE"/>
    <w:rsid w:val="00C92BC5"/>
    <w:rsid w:val="00CC5832"/>
    <w:rsid w:val="00CD5126"/>
    <w:rsid w:val="00CF2430"/>
    <w:rsid w:val="00D16F34"/>
    <w:rsid w:val="00D22490"/>
    <w:rsid w:val="00D22A01"/>
    <w:rsid w:val="00D2524F"/>
    <w:rsid w:val="00D3174D"/>
    <w:rsid w:val="00D35A3C"/>
    <w:rsid w:val="00D41BE1"/>
    <w:rsid w:val="00D541E9"/>
    <w:rsid w:val="00D579F0"/>
    <w:rsid w:val="00D646DD"/>
    <w:rsid w:val="00D7070C"/>
    <w:rsid w:val="00D75569"/>
    <w:rsid w:val="00DA3E3E"/>
    <w:rsid w:val="00DA71C4"/>
    <w:rsid w:val="00DC4626"/>
    <w:rsid w:val="00DC5F76"/>
    <w:rsid w:val="00DD118F"/>
    <w:rsid w:val="00DD5337"/>
    <w:rsid w:val="00DD66F1"/>
    <w:rsid w:val="00DE5CDA"/>
    <w:rsid w:val="00DE6273"/>
    <w:rsid w:val="00DE71BC"/>
    <w:rsid w:val="00DF1EA0"/>
    <w:rsid w:val="00DF28FC"/>
    <w:rsid w:val="00DF64EE"/>
    <w:rsid w:val="00DF72DE"/>
    <w:rsid w:val="00DF7431"/>
    <w:rsid w:val="00E01F08"/>
    <w:rsid w:val="00E13FB3"/>
    <w:rsid w:val="00E311EC"/>
    <w:rsid w:val="00E36BE8"/>
    <w:rsid w:val="00E37ABE"/>
    <w:rsid w:val="00E528A2"/>
    <w:rsid w:val="00E52D1A"/>
    <w:rsid w:val="00E625F4"/>
    <w:rsid w:val="00E6631B"/>
    <w:rsid w:val="00E8398C"/>
    <w:rsid w:val="00E8430B"/>
    <w:rsid w:val="00E929AC"/>
    <w:rsid w:val="00EA1F5B"/>
    <w:rsid w:val="00EA2C4D"/>
    <w:rsid w:val="00EC247C"/>
    <w:rsid w:val="00EC667E"/>
    <w:rsid w:val="00ED19AD"/>
    <w:rsid w:val="00ED3931"/>
    <w:rsid w:val="00EE5B23"/>
    <w:rsid w:val="00EE6FD5"/>
    <w:rsid w:val="00F04312"/>
    <w:rsid w:val="00F06A26"/>
    <w:rsid w:val="00F112CF"/>
    <w:rsid w:val="00F154EC"/>
    <w:rsid w:val="00F33AA0"/>
    <w:rsid w:val="00F36B89"/>
    <w:rsid w:val="00F46898"/>
    <w:rsid w:val="00F47395"/>
    <w:rsid w:val="00F607F0"/>
    <w:rsid w:val="00F70F19"/>
    <w:rsid w:val="00F71BAF"/>
    <w:rsid w:val="00F73C6B"/>
    <w:rsid w:val="00F73FD6"/>
    <w:rsid w:val="00F77900"/>
    <w:rsid w:val="00F77C6E"/>
    <w:rsid w:val="00F85203"/>
    <w:rsid w:val="00F9077C"/>
    <w:rsid w:val="00F93311"/>
    <w:rsid w:val="00F95879"/>
    <w:rsid w:val="00F97CA8"/>
    <w:rsid w:val="00FC442E"/>
    <w:rsid w:val="00FC47D4"/>
    <w:rsid w:val="00FC686D"/>
    <w:rsid w:val="00FD72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ABB9132"/>
  <w15:docId w15:val="{063CB2F0-B473-4374-9CD7-722DBDD9E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595959" w:themeColor="text1" w:themeTint="A6"/>
        <w:lang w:val="en-US" w:eastAsia="ja-JP" w:bidi="ar-SA"/>
      </w:rPr>
    </w:rPrDefault>
    <w:pPrDefault>
      <w:pPr>
        <w:spacing w:before="40" w:after="160" w:line="28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5" w:unhideWhenUsed="1" w:qFormat="1"/>
    <w:lsdException w:name="heading 4" w:semiHidden="1" w:uiPriority="5"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9" w:qFormat="1"/>
    <w:lsdException w:name="Closing" w:semiHidden="1" w:unhideWhenUsed="1"/>
    <w:lsdException w:name="Signature" w:semiHidden="1" w:uiPriority="9"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9"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24B0"/>
    <w:rPr>
      <w:kern w:val="20"/>
    </w:rPr>
  </w:style>
  <w:style w:type="paragraph" w:styleId="Heading1">
    <w:name w:val="heading 1"/>
    <w:basedOn w:val="Normal"/>
    <w:link w:val="Heading1Char"/>
    <w:uiPriority w:val="5"/>
    <w:qFormat/>
    <w:rsid w:val="00AA576B"/>
    <w:pPr>
      <w:pageBreakBefore/>
      <w:spacing w:before="0" w:after="240" w:line="240" w:lineRule="auto"/>
      <w:outlineLvl w:val="0"/>
    </w:pPr>
    <w:rPr>
      <w:sz w:val="36"/>
    </w:rPr>
  </w:style>
  <w:style w:type="paragraph" w:styleId="Heading2">
    <w:name w:val="heading 2"/>
    <w:basedOn w:val="Normal"/>
    <w:link w:val="Heading2Char"/>
    <w:uiPriority w:val="5"/>
    <w:qFormat/>
    <w:rsid w:val="00F77C6E"/>
    <w:pPr>
      <w:keepNext/>
      <w:keepLines/>
      <w:spacing w:before="360" w:after="60" w:line="240" w:lineRule="auto"/>
      <w:outlineLvl w:val="1"/>
    </w:pPr>
    <w:rPr>
      <w:rFonts w:asciiTheme="majorHAnsi" w:eastAsiaTheme="majorEastAsia" w:hAnsiTheme="majorHAnsi" w:cstheme="majorBidi"/>
      <w:caps/>
      <w:color w:val="577188" w:themeColor="accent1" w:themeShade="BF"/>
      <w:sz w:val="24"/>
    </w:rPr>
  </w:style>
  <w:style w:type="paragraph" w:styleId="Heading3">
    <w:name w:val="heading 3"/>
    <w:basedOn w:val="Normal"/>
    <w:link w:val="Heading3Char"/>
    <w:uiPriority w:val="5"/>
    <w:unhideWhenUsed/>
    <w:qFormat/>
    <w:rsid w:val="002D2C14"/>
    <w:pPr>
      <w:keepNext/>
      <w:keepLines/>
      <w:spacing w:after="0"/>
      <w:outlineLvl w:val="2"/>
    </w:pPr>
    <w:rPr>
      <w:rFonts w:asciiTheme="majorHAnsi" w:eastAsiaTheme="majorEastAsia" w:hAnsiTheme="majorHAnsi" w:cstheme="majorBidi"/>
      <w:color w:val="394B5A" w:themeColor="accent1" w:themeShade="7F"/>
      <w:sz w:val="24"/>
      <w:szCs w:val="24"/>
    </w:rPr>
  </w:style>
  <w:style w:type="paragraph" w:styleId="Heading4">
    <w:name w:val="heading 4"/>
    <w:basedOn w:val="Normal"/>
    <w:next w:val="Normal"/>
    <w:link w:val="Heading4Char"/>
    <w:uiPriority w:val="5"/>
    <w:unhideWhenUsed/>
    <w:qFormat/>
    <w:rsid w:val="00DD118F"/>
    <w:pPr>
      <w:keepNext/>
      <w:keepLines/>
      <w:spacing w:after="0"/>
      <w:outlineLvl w:val="3"/>
    </w:pPr>
    <w:rPr>
      <w:rFonts w:asciiTheme="majorHAnsi" w:eastAsiaTheme="majorEastAsia" w:hAnsiTheme="majorHAnsi" w:cstheme="majorBidi"/>
      <w:i/>
      <w:iCs/>
      <w:color w:val="577188" w:themeColor="accent1" w:themeShade="BF"/>
    </w:rPr>
  </w:style>
  <w:style w:type="paragraph" w:styleId="Heading5">
    <w:name w:val="heading 5"/>
    <w:basedOn w:val="Normal"/>
    <w:next w:val="Normal"/>
    <w:link w:val="Heading5Char"/>
    <w:uiPriority w:val="5"/>
    <w:unhideWhenUsed/>
    <w:qFormat/>
    <w:pPr>
      <w:keepNext/>
      <w:keepLines/>
      <w:spacing w:before="200" w:after="0"/>
      <w:outlineLvl w:val="4"/>
    </w:pPr>
    <w:rPr>
      <w:rFonts w:asciiTheme="majorHAnsi" w:eastAsiaTheme="majorEastAsia" w:hAnsiTheme="majorHAnsi" w:cstheme="majorBidi"/>
      <w:color w:val="394B5A" w:themeColor="accent1" w:themeShade="7F"/>
    </w:rPr>
  </w:style>
  <w:style w:type="paragraph" w:styleId="Heading6">
    <w:name w:val="heading 6"/>
    <w:basedOn w:val="Normal"/>
    <w:next w:val="Normal"/>
    <w:link w:val="Heading6Char"/>
    <w:uiPriority w:val="5"/>
    <w:unhideWhenUsed/>
    <w:qFormat/>
    <w:pPr>
      <w:keepNext/>
      <w:keepLines/>
      <w:spacing w:before="200" w:after="0"/>
      <w:outlineLvl w:val="5"/>
    </w:pPr>
    <w:rPr>
      <w:rFonts w:asciiTheme="majorHAnsi" w:eastAsiaTheme="majorEastAsia" w:hAnsiTheme="majorHAnsi" w:cstheme="majorBidi"/>
      <w:i/>
      <w:iCs/>
      <w:color w:val="394B5A" w:themeColor="accent1" w:themeShade="7F"/>
    </w:rPr>
  </w:style>
  <w:style w:type="paragraph" w:styleId="Heading7">
    <w:name w:val="heading 7"/>
    <w:basedOn w:val="Normal"/>
    <w:next w:val="Normal"/>
    <w:link w:val="Heading7Char"/>
    <w:uiPriority w:val="5"/>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5"/>
    <w:semiHidden/>
    <w:unhideWhenUsed/>
    <w:qFormat/>
    <w:pPr>
      <w:keepNext/>
      <w:keepLines/>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5"/>
    <w:semiHidden/>
    <w:unhideWhenUsed/>
    <w:qFormat/>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924B0"/>
    <w:pPr>
      <w:pBdr>
        <w:top w:val="single" w:sz="2" w:space="1" w:color="7E97AD" w:themeColor="accent1"/>
        <w:left w:val="single" w:sz="2" w:space="4" w:color="7E97AD" w:themeColor="accent1"/>
        <w:bottom w:val="single" w:sz="2" w:space="1" w:color="7E97AD" w:themeColor="accent1"/>
        <w:right w:val="single" w:sz="2" w:space="4" w:color="7E97AD" w:themeColor="accent1"/>
      </w:pBdr>
      <w:shd w:val="clear" w:color="auto" w:fill="7E97AD" w:themeFill="accent1"/>
      <w:spacing w:after="0" w:line="240" w:lineRule="auto"/>
    </w:pPr>
    <w:rPr>
      <w:rFonts w:asciiTheme="majorHAnsi" w:hAnsiTheme="majorHAnsi"/>
      <w:caps/>
      <w:color w:val="FFFFFF" w:themeColor="background1"/>
      <w:sz w:val="40"/>
    </w:rPr>
  </w:style>
  <w:style w:type="character" w:customStyle="1" w:styleId="HeaderChar">
    <w:name w:val="Header Char"/>
    <w:basedOn w:val="DefaultParagraphFont"/>
    <w:link w:val="Header"/>
    <w:uiPriority w:val="99"/>
    <w:rsid w:val="006924B0"/>
    <w:rPr>
      <w:rFonts w:asciiTheme="majorHAnsi" w:hAnsiTheme="majorHAnsi"/>
      <w:caps/>
      <w:color w:val="FFFFFF" w:themeColor="background1"/>
      <w:kern w:val="20"/>
      <w:sz w:val="40"/>
      <w:shd w:val="clear" w:color="auto" w:fill="7E97AD" w:themeFill="accent1"/>
    </w:rPr>
  </w:style>
  <w:style w:type="paragraph" w:styleId="Footer">
    <w:name w:val="footer"/>
    <w:basedOn w:val="Normal"/>
    <w:link w:val="FooterChar"/>
    <w:uiPriority w:val="99"/>
    <w:rsid w:val="006924B0"/>
    <w:pPr>
      <w:pBdr>
        <w:top w:val="single" w:sz="4" w:space="6" w:color="B1C0CD" w:themeColor="accent1" w:themeTint="99"/>
        <w:left w:val="single" w:sz="4" w:space="20" w:color="FFFFFF" w:themeColor="background1"/>
        <w:right w:val="single" w:sz="2" w:space="20" w:color="FFFFFF" w:themeColor="background1"/>
      </w:pBdr>
      <w:spacing w:after="0" w:line="240" w:lineRule="auto"/>
    </w:pPr>
  </w:style>
  <w:style w:type="character" w:customStyle="1" w:styleId="FooterChar">
    <w:name w:val="Footer Char"/>
    <w:basedOn w:val="DefaultParagraphFont"/>
    <w:link w:val="Footer"/>
    <w:uiPriority w:val="99"/>
    <w:rsid w:val="006924B0"/>
    <w:rPr>
      <w:kern w:val="20"/>
    </w:rPr>
  </w:style>
  <w:style w:type="table" w:styleId="TableGrid">
    <w:name w:val="Table Grid"/>
    <w:basedOn w:val="TableNormal"/>
    <w:uiPriority w:val="59"/>
    <w:rsid w:val="0067187F"/>
    <w:pPr>
      <w:spacing w:after="0" w:line="240" w:lineRule="auto"/>
    </w:pPr>
    <w:tblPr>
      <w:tblBorders>
        <w:left w:val="single" w:sz="4" w:space="0" w:color="FFFFFF" w:themeColor="background1"/>
        <w:insideH w:val="single" w:sz="4" w:space="0" w:color="FFFFFF" w:themeColor="background1"/>
        <w:insideV w:val="single" w:sz="4" w:space="0" w:color="FFFFFF" w:themeColor="background1"/>
      </w:tblBorders>
    </w:tblPr>
    <w:tblStylePr w:type="firstRow">
      <w:pPr>
        <w:wordWrap/>
        <w:spacing w:beforeLines="0" w:before="0" w:beforeAutospacing="0" w:afterLines="0" w:after="0" w:afterAutospacing="0"/>
        <w:ind w:leftChars="0" w:left="144" w:rightChars="0" w:right="144"/>
        <w:jc w:val="left"/>
        <w:outlineLvl w:val="9"/>
      </w:pPr>
      <w:rPr>
        <w:rFonts w:asciiTheme="majorHAnsi" w:hAnsiTheme="majorHAnsi"/>
        <w:b w:val="0"/>
        <w:i w:val="0"/>
        <w:caps/>
        <w:smallCaps w:val="0"/>
        <w:color w:val="FFFFFF" w:themeColor="background1"/>
        <w:sz w:val="24"/>
      </w:rPr>
      <w:tblPr/>
      <w:tcPr>
        <w:tcBorders>
          <w:top w:val="nil"/>
          <w:left w:val="single" w:sz="4" w:space="0" w:color="FFFFFF" w:themeColor="background1"/>
          <w:bottom w:val="nil"/>
          <w:right w:val="nil"/>
          <w:insideH w:val="nil"/>
          <w:insideV w:val="single" w:sz="4" w:space="0" w:color="FFFFFF" w:themeColor="background1"/>
          <w:tl2br w:val="nil"/>
          <w:tr2bl w:val="nil"/>
        </w:tcBorders>
        <w:shd w:val="clear" w:color="auto" w:fill="7E97AD" w:themeFill="accent1"/>
      </w:tcPr>
    </w:tblStylePr>
  </w:style>
  <w:style w:type="paragraph" w:styleId="NoSpacing">
    <w:name w:val="No Spacing"/>
    <w:link w:val="NoSpacingChar"/>
    <w:uiPriority w:val="11"/>
    <w:qFormat/>
    <w:rsid w:val="006216E8"/>
    <w:pPr>
      <w:spacing w:before="0" w:after="0" w:line="240" w:lineRule="auto"/>
    </w:pPr>
  </w:style>
  <w:style w:type="paragraph" w:styleId="BalloonText">
    <w:name w:val="Balloon Text"/>
    <w:basedOn w:val="Normal"/>
    <w:link w:val="BalloonTextChar"/>
    <w:uiPriority w:val="99"/>
    <w:semiHidden/>
    <w:unhideWhenUsed/>
    <w:pPr>
      <w:spacing w:after="0" w:line="240" w:lineRule="auto"/>
    </w:pPr>
    <w:rPr>
      <w:rFonts w:ascii="Tahoma" w:hAnsi="Tahoma" w:cs="Tahoma"/>
      <w:sz w:val="16"/>
    </w:rPr>
  </w:style>
  <w:style w:type="character" w:customStyle="1" w:styleId="BalloonTextChar">
    <w:name w:val="Balloon Text Char"/>
    <w:basedOn w:val="DefaultParagraphFont"/>
    <w:link w:val="BalloonText"/>
    <w:uiPriority w:val="99"/>
    <w:semiHidden/>
    <w:rPr>
      <w:rFonts w:ascii="Tahoma" w:hAnsi="Tahoma" w:cs="Tahoma"/>
      <w:sz w:val="16"/>
    </w:rPr>
  </w:style>
  <w:style w:type="character" w:customStyle="1" w:styleId="Heading1Char">
    <w:name w:val="Heading 1 Char"/>
    <w:basedOn w:val="DefaultParagraphFont"/>
    <w:link w:val="Heading1"/>
    <w:uiPriority w:val="5"/>
    <w:rsid w:val="00AA576B"/>
    <w:rPr>
      <w:kern w:val="20"/>
      <w:sz w:val="36"/>
    </w:rPr>
  </w:style>
  <w:style w:type="character" w:customStyle="1" w:styleId="Heading2Char">
    <w:name w:val="Heading 2 Char"/>
    <w:basedOn w:val="DefaultParagraphFont"/>
    <w:link w:val="Heading2"/>
    <w:uiPriority w:val="5"/>
    <w:rsid w:val="00F77C6E"/>
    <w:rPr>
      <w:rFonts w:asciiTheme="majorHAnsi" w:eastAsiaTheme="majorEastAsia" w:hAnsiTheme="majorHAnsi" w:cstheme="majorBidi"/>
      <w:caps/>
      <w:color w:val="577188" w:themeColor="accent1" w:themeShade="BF"/>
      <w:kern w:val="20"/>
      <w:sz w:val="24"/>
    </w:rPr>
  </w:style>
  <w:style w:type="character" w:styleId="PlaceholderText">
    <w:name w:val="Placeholder Text"/>
    <w:basedOn w:val="DefaultParagraphFont"/>
    <w:uiPriority w:val="99"/>
    <w:semiHidden/>
    <w:rPr>
      <w:color w:val="808080"/>
    </w:rPr>
  </w:style>
  <w:style w:type="table" w:customStyle="1" w:styleId="PlainTable11">
    <w:name w:val="Plain Table 11"/>
    <w:basedOn w:val="TableNormal"/>
    <w:uiPriority w:val="40"/>
    <w:rsid w:val="00C64D7C"/>
    <w:pPr>
      <w:spacing w:after="0" w:line="240" w:lineRule="auto"/>
    </w:pPr>
    <w:tblPr>
      <w:tblStyleRowBandSize w:val="1"/>
      <w:tblStyleColBandSize w:val="1"/>
    </w:tblPr>
    <w:tcPr>
      <w:shd w:val="clear" w:color="auto" w:fill="auto"/>
    </w:tc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bliography">
    <w:name w:val="Bibliography"/>
    <w:basedOn w:val="Normal"/>
    <w:next w:val="Normal"/>
    <w:uiPriority w:val="37"/>
    <w:semiHidden/>
    <w:unhideWhenUsed/>
  </w:style>
  <w:style w:type="paragraph" w:styleId="BlockText">
    <w:name w:val="Block Text"/>
    <w:basedOn w:val="Normal"/>
    <w:uiPriority w:val="99"/>
    <w:semiHidden/>
    <w:unhideWhenUsed/>
    <w:pPr>
      <w:pBdr>
        <w:top w:val="single" w:sz="2" w:space="10" w:color="7E97AD" w:themeColor="accent1" w:frame="1"/>
        <w:left w:val="single" w:sz="2" w:space="10" w:color="7E97AD" w:themeColor="accent1" w:frame="1"/>
        <w:bottom w:val="single" w:sz="2" w:space="10" w:color="7E97AD" w:themeColor="accent1" w:frame="1"/>
        <w:right w:val="single" w:sz="2" w:space="10" w:color="7E97AD" w:themeColor="accent1" w:frame="1"/>
      </w:pBdr>
      <w:ind w:left="1152" w:right="1152"/>
    </w:pPr>
    <w:rPr>
      <w:i/>
      <w:iCs/>
      <w:color w:val="7E97AD" w:themeColor="accent1"/>
    </w:rPr>
  </w:style>
  <w:style w:type="paragraph" w:styleId="BodyText">
    <w:name w:val="Body Text"/>
    <w:basedOn w:val="Normal"/>
    <w:link w:val="BodyTextChar"/>
    <w:uiPriority w:val="99"/>
    <w:semiHidden/>
    <w:unhideWhenUsed/>
    <w:pPr>
      <w:spacing w:after="120"/>
    </w:pPr>
  </w:style>
  <w:style w:type="character" w:customStyle="1" w:styleId="BodyTextChar">
    <w:name w:val="Body Text Char"/>
    <w:basedOn w:val="DefaultParagraphFont"/>
    <w:link w:val="BodyText"/>
    <w:uiPriority w:val="99"/>
    <w:semiHidden/>
  </w:style>
  <w:style w:type="paragraph" w:styleId="BodyText2">
    <w:name w:val="Body Text 2"/>
    <w:basedOn w:val="Normal"/>
    <w:link w:val="BodyText2Char"/>
    <w:uiPriority w:val="99"/>
    <w:semiHidden/>
    <w:unhideWhenUsed/>
    <w:pPr>
      <w:spacing w:after="120" w:line="480" w:lineRule="auto"/>
    </w:pPr>
  </w:style>
  <w:style w:type="character" w:customStyle="1" w:styleId="BodyText2Char">
    <w:name w:val="Body Text 2 Char"/>
    <w:basedOn w:val="DefaultParagraphFont"/>
    <w:link w:val="BodyText2"/>
    <w:uiPriority w:val="99"/>
    <w:semiHidden/>
  </w:style>
  <w:style w:type="paragraph" w:styleId="BodyText3">
    <w:name w:val="Body Text 3"/>
    <w:basedOn w:val="Normal"/>
    <w:link w:val="BodyText3Char"/>
    <w:uiPriority w:val="99"/>
    <w:semiHidden/>
    <w:unhideWhenUsed/>
    <w:pPr>
      <w:spacing w:after="120"/>
    </w:pPr>
    <w:rPr>
      <w:sz w:val="16"/>
    </w:rPr>
  </w:style>
  <w:style w:type="character" w:customStyle="1" w:styleId="BodyText3Char">
    <w:name w:val="Body Text 3 Char"/>
    <w:basedOn w:val="DefaultParagraphFont"/>
    <w:link w:val="BodyText3"/>
    <w:uiPriority w:val="99"/>
    <w:semiHidden/>
    <w:rPr>
      <w:sz w:val="16"/>
    </w:rPr>
  </w:style>
  <w:style w:type="paragraph" w:styleId="BodyTextFirstIndent">
    <w:name w:val="Body Text First Indent"/>
    <w:basedOn w:val="BodyText"/>
    <w:link w:val="BodyTextFirstIndentChar"/>
    <w:uiPriority w:val="99"/>
    <w:semiHidden/>
    <w:unhideWhenUsed/>
    <w:pPr>
      <w:spacing w:after="200"/>
      <w:ind w:firstLine="360"/>
    </w:pPr>
  </w:style>
  <w:style w:type="character" w:customStyle="1" w:styleId="BodyTextFirstIndentChar">
    <w:name w:val="Body Text First Indent Char"/>
    <w:basedOn w:val="BodyTextChar"/>
    <w:link w:val="BodyTextFirstIndent"/>
    <w:uiPriority w:val="99"/>
    <w:semiHidden/>
  </w:style>
  <w:style w:type="paragraph" w:styleId="BodyTextIndent">
    <w:name w:val="Body Text Indent"/>
    <w:basedOn w:val="Normal"/>
    <w:link w:val="BodyTextIndentChar"/>
    <w:uiPriority w:val="99"/>
    <w:semiHidden/>
    <w:unhideWhenUsed/>
    <w:pPr>
      <w:spacing w:after="120"/>
      <w:ind w:left="360"/>
    </w:pPr>
  </w:style>
  <w:style w:type="character" w:customStyle="1" w:styleId="BodyTextIndentChar">
    <w:name w:val="Body Text Indent Char"/>
    <w:basedOn w:val="DefaultParagraphFont"/>
    <w:link w:val="BodyTextIndent"/>
    <w:uiPriority w:val="99"/>
    <w:semiHidden/>
  </w:style>
  <w:style w:type="paragraph" w:styleId="BodyTextFirstIndent2">
    <w:name w:val="Body Text First Indent 2"/>
    <w:basedOn w:val="BodyTextIndent"/>
    <w:link w:val="BodyTextFirstIndent2Char"/>
    <w:uiPriority w:val="99"/>
    <w:semiHidden/>
    <w:unhideWhenUsed/>
    <w:pPr>
      <w:spacing w:after="200"/>
      <w:ind w:firstLine="360"/>
    </w:pPr>
  </w:style>
  <w:style w:type="character" w:customStyle="1" w:styleId="BodyTextFirstIndent2Char">
    <w:name w:val="Body Text First Indent 2 Char"/>
    <w:basedOn w:val="BodyTextIndentChar"/>
    <w:link w:val="BodyTextFirstIndent2"/>
    <w:uiPriority w:val="99"/>
    <w:semiHidden/>
  </w:style>
  <w:style w:type="paragraph" w:styleId="BodyTextIndent2">
    <w:name w:val="Body Text Indent 2"/>
    <w:basedOn w:val="Normal"/>
    <w:link w:val="BodyTextIndent2Char"/>
    <w:uiPriority w:val="99"/>
    <w:semiHidden/>
    <w:unhideWhenUsed/>
    <w:pPr>
      <w:spacing w:after="120" w:line="480" w:lineRule="auto"/>
      <w:ind w:left="360"/>
    </w:pPr>
  </w:style>
  <w:style w:type="character" w:customStyle="1" w:styleId="BodyTextIndent2Char">
    <w:name w:val="Body Text Indent 2 Char"/>
    <w:basedOn w:val="DefaultParagraphFont"/>
    <w:link w:val="BodyTextIndent2"/>
    <w:uiPriority w:val="99"/>
    <w:semiHidden/>
  </w:style>
  <w:style w:type="paragraph" w:styleId="BodyTextIndent3">
    <w:name w:val="Body Text Indent 3"/>
    <w:basedOn w:val="Normal"/>
    <w:link w:val="BodyTextIndent3Char"/>
    <w:uiPriority w:val="99"/>
    <w:semiHidden/>
    <w:unhideWhenUsed/>
    <w:pPr>
      <w:spacing w:after="120"/>
      <w:ind w:left="360"/>
    </w:pPr>
    <w:rPr>
      <w:sz w:val="16"/>
    </w:rPr>
  </w:style>
  <w:style w:type="character" w:customStyle="1" w:styleId="BodyTextIndent3Char">
    <w:name w:val="Body Text Indent 3 Char"/>
    <w:basedOn w:val="DefaultParagraphFont"/>
    <w:link w:val="BodyTextIndent3"/>
    <w:uiPriority w:val="99"/>
    <w:semiHidden/>
    <w:rPr>
      <w:sz w:val="16"/>
    </w:rPr>
  </w:style>
  <w:style w:type="character" w:styleId="BookTitle">
    <w:name w:val="Book Title"/>
    <w:basedOn w:val="DefaultParagraphFont"/>
    <w:uiPriority w:val="33"/>
    <w:semiHidden/>
    <w:unhideWhenUsed/>
    <w:rsid w:val="006924B0"/>
    <w:rPr>
      <w:b/>
      <w:bCs/>
      <w:caps w:val="0"/>
      <w:smallCaps/>
      <w:spacing w:val="0"/>
    </w:rPr>
  </w:style>
  <w:style w:type="paragraph" w:styleId="Caption">
    <w:name w:val="caption"/>
    <w:basedOn w:val="Normal"/>
    <w:next w:val="Normal"/>
    <w:uiPriority w:val="35"/>
    <w:semiHidden/>
    <w:unhideWhenUsed/>
    <w:qFormat/>
    <w:pPr>
      <w:spacing w:line="240" w:lineRule="auto"/>
    </w:pPr>
    <w:rPr>
      <w:b/>
      <w:bCs/>
      <w:color w:val="7E97AD" w:themeColor="accent1"/>
      <w:sz w:val="18"/>
    </w:rPr>
  </w:style>
  <w:style w:type="paragraph" w:styleId="Closing">
    <w:name w:val="Closing"/>
    <w:basedOn w:val="Normal"/>
    <w:link w:val="ClosingChar"/>
    <w:uiPriority w:val="99"/>
    <w:semiHidden/>
    <w:unhideWhenUsed/>
    <w:pPr>
      <w:spacing w:after="0" w:line="240" w:lineRule="auto"/>
      <w:ind w:left="4320"/>
    </w:pPr>
  </w:style>
  <w:style w:type="character" w:customStyle="1" w:styleId="ClosingChar">
    <w:name w:val="Closing Char"/>
    <w:basedOn w:val="DefaultParagraphFont"/>
    <w:link w:val="Closing"/>
    <w:uiPriority w:val="99"/>
    <w:semiHidden/>
  </w:style>
  <w:style w:type="table" w:styleId="ColorfulGrid">
    <w:name w:val="Colorful Grid"/>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EAEE" w:themeFill="accent1" w:themeFillTint="33"/>
    </w:tcPr>
    <w:tblStylePr w:type="firstRow">
      <w:rPr>
        <w:b/>
        <w:bCs/>
      </w:rPr>
      <w:tblPr/>
      <w:tcPr>
        <w:shd w:val="clear" w:color="auto" w:fill="CBD5DE" w:themeFill="accent1" w:themeFillTint="66"/>
      </w:tcPr>
    </w:tblStylePr>
    <w:tblStylePr w:type="lastRow">
      <w:rPr>
        <w:b/>
        <w:bCs/>
        <w:color w:val="000000" w:themeColor="text1"/>
      </w:rPr>
      <w:tblPr/>
      <w:tcPr>
        <w:shd w:val="clear" w:color="auto" w:fill="CBD5DE" w:themeFill="accent1" w:themeFillTint="66"/>
      </w:tcPr>
    </w:tblStylePr>
    <w:tblStylePr w:type="firstCol">
      <w:rPr>
        <w:color w:val="FFFFFF" w:themeColor="background1"/>
      </w:rPr>
      <w:tblPr/>
      <w:tcPr>
        <w:shd w:val="clear" w:color="auto" w:fill="577188" w:themeFill="accent1" w:themeFillShade="BF"/>
      </w:tcPr>
    </w:tblStylePr>
    <w:tblStylePr w:type="lastCol">
      <w:rPr>
        <w:color w:val="FFFFFF" w:themeColor="background1"/>
      </w:rPr>
      <w:tblPr/>
      <w:tcPr>
        <w:shd w:val="clear" w:color="auto" w:fill="577188" w:themeFill="accent1" w:themeFillShade="BF"/>
      </w:tcPr>
    </w:tblStylePr>
    <w:tblStylePr w:type="band1Vert">
      <w:tblPr/>
      <w:tcPr>
        <w:shd w:val="clear" w:color="auto" w:fill="BECBD6" w:themeFill="accent1" w:themeFillTint="7F"/>
      </w:tcPr>
    </w:tblStylePr>
    <w:tblStylePr w:type="band1Horz">
      <w:tblPr/>
      <w:tcPr>
        <w:shd w:val="clear" w:color="auto" w:fill="BECBD6" w:themeFill="accent1" w:themeFillTint="7F"/>
      </w:tcPr>
    </w:tblStylePr>
  </w:style>
  <w:style w:type="table" w:styleId="ColorfulGrid-Accent2">
    <w:name w:val="Colorful Grid Accent 2"/>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4E8DF" w:themeFill="accent2" w:themeFillTint="33"/>
    </w:tcPr>
    <w:tblStylePr w:type="firstRow">
      <w:rPr>
        <w:b/>
        <w:bCs/>
      </w:rPr>
      <w:tblPr/>
      <w:tcPr>
        <w:shd w:val="clear" w:color="auto" w:fill="EAD1BF" w:themeFill="accent2" w:themeFillTint="66"/>
      </w:tcPr>
    </w:tblStylePr>
    <w:tblStylePr w:type="lastRow">
      <w:rPr>
        <w:b/>
        <w:bCs/>
        <w:color w:val="000000" w:themeColor="text1"/>
      </w:rPr>
      <w:tblPr/>
      <w:tcPr>
        <w:shd w:val="clear" w:color="auto" w:fill="EAD1BF" w:themeFill="accent2" w:themeFillTint="66"/>
      </w:tcPr>
    </w:tblStylePr>
    <w:tblStylePr w:type="firstCol">
      <w:rPr>
        <w:color w:val="FFFFFF" w:themeColor="background1"/>
      </w:rPr>
      <w:tblPr/>
      <w:tcPr>
        <w:shd w:val="clear" w:color="auto" w:fill="AA6736" w:themeFill="accent2" w:themeFillShade="BF"/>
      </w:tcPr>
    </w:tblStylePr>
    <w:tblStylePr w:type="lastCol">
      <w:rPr>
        <w:color w:val="FFFFFF" w:themeColor="background1"/>
      </w:rPr>
      <w:tblPr/>
      <w:tcPr>
        <w:shd w:val="clear" w:color="auto" w:fill="AA6736" w:themeFill="accent2" w:themeFillShade="BF"/>
      </w:tcPr>
    </w:tblStylePr>
    <w:tblStylePr w:type="band1Vert">
      <w:tblPr/>
      <w:tcPr>
        <w:shd w:val="clear" w:color="auto" w:fill="E5C6AF" w:themeFill="accent2" w:themeFillTint="7F"/>
      </w:tcPr>
    </w:tblStylePr>
    <w:tblStylePr w:type="band1Horz">
      <w:tblPr/>
      <w:tcPr>
        <w:shd w:val="clear" w:color="auto" w:fill="E5C6AF" w:themeFill="accent2" w:themeFillTint="7F"/>
      </w:tcPr>
    </w:tblStylePr>
  </w:style>
  <w:style w:type="table" w:styleId="ColorfulGrid-Accent3">
    <w:name w:val="Colorful Grid Accent 3"/>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E0DE" w:themeFill="accent3" w:themeFillTint="33"/>
    </w:tcPr>
    <w:tblStylePr w:type="firstRow">
      <w:rPr>
        <w:b/>
        <w:bCs/>
      </w:rPr>
      <w:tblPr/>
      <w:tcPr>
        <w:shd w:val="clear" w:color="auto" w:fill="CBC2BD" w:themeFill="accent3" w:themeFillTint="66"/>
      </w:tcPr>
    </w:tblStylePr>
    <w:tblStylePr w:type="lastRow">
      <w:rPr>
        <w:b/>
        <w:bCs/>
        <w:color w:val="000000" w:themeColor="text1"/>
      </w:rPr>
      <w:tblPr/>
      <w:tcPr>
        <w:shd w:val="clear" w:color="auto" w:fill="CBC2BD" w:themeFill="accent3" w:themeFillTint="66"/>
      </w:tcPr>
    </w:tblStylePr>
    <w:tblStylePr w:type="firstCol">
      <w:rPr>
        <w:color w:val="FFFFFF" w:themeColor="background1"/>
      </w:rPr>
      <w:tblPr/>
      <w:tcPr>
        <w:shd w:val="clear" w:color="auto" w:fill="5B4F47" w:themeFill="accent3" w:themeFillShade="BF"/>
      </w:tcPr>
    </w:tblStylePr>
    <w:tblStylePr w:type="lastCol">
      <w:rPr>
        <w:color w:val="FFFFFF" w:themeColor="background1"/>
      </w:rPr>
      <w:tblPr/>
      <w:tcPr>
        <w:shd w:val="clear" w:color="auto" w:fill="5B4F47" w:themeFill="accent3" w:themeFillShade="BF"/>
      </w:tcPr>
    </w:tblStylePr>
    <w:tblStylePr w:type="band1Vert">
      <w:tblPr/>
      <w:tcPr>
        <w:shd w:val="clear" w:color="auto" w:fill="BEB4AD" w:themeFill="accent3" w:themeFillTint="7F"/>
      </w:tcPr>
    </w:tblStylePr>
    <w:tblStylePr w:type="band1Horz">
      <w:tblPr/>
      <w:tcPr>
        <w:shd w:val="clear" w:color="auto" w:fill="BEB4AD" w:themeFill="accent3" w:themeFillTint="7F"/>
      </w:tcPr>
    </w:tblStylePr>
  </w:style>
  <w:style w:type="table" w:styleId="ColorfulGrid-Accent4">
    <w:name w:val="Colorful Grid Accent 4"/>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0E9E1" w:themeFill="accent4" w:themeFillTint="33"/>
    </w:tcPr>
    <w:tblStylePr w:type="firstRow">
      <w:rPr>
        <w:b/>
        <w:bCs/>
      </w:rPr>
      <w:tblPr/>
      <w:tcPr>
        <w:shd w:val="clear" w:color="auto" w:fill="E1D3C4" w:themeFill="accent4" w:themeFillTint="66"/>
      </w:tcPr>
    </w:tblStylePr>
    <w:tblStylePr w:type="lastRow">
      <w:rPr>
        <w:b/>
        <w:bCs/>
        <w:color w:val="000000" w:themeColor="text1"/>
      </w:rPr>
      <w:tblPr/>
      <w:tcPr>
        <w:shd w:val="clear" w:color="auto" w:fill="E1D3C4" w:themeFill="accent4" w:themeFillTint="66"/>
      </w:tcPr>
    </w:tblStylePr>
    <w:tblStylePr w:type="firstCol">
      <w:rPr>
        <w:color w:val="FFFFFF" w:themeColor="background1"/>
      </w:rPr>
      <w:tblPr/>
      <w:tcPr>
        <w:shd w:val="clear" w:color="auto" w:fill="8E6E49" w:themeFill="accent4" w:themeFillShade="BF"/>
      </w:tcPr>
    </w:tblStylePr>
    <w:tblStylePr w:type="lastCol">
      <w:rPr>
        <w:color w:val="FFFFFF" w:themeColor="background1"/>
      </w:rPr>
      <w:tblPr/>
      <w:tcPr>
        <w:shd w:val="clear" w:color="auto" w:fill="8E6E49" w:themeFill="accent4" w:themeFillShade="BF"/>
      </w:tcPr>
    </w:tblStylePr>
    <w:tblStylePr w:type="band1Vert">
      <w:tblPr/>
      <w:tcPr>
        <w:shd w:val="clear" w:color="auto" w:fill="D9C9B6" w:themeFill="accent4" w:themeFillTint="7F"/>
      </w:tcPr>
    </w:tblStylePr>
    <w:tblStylePr w:type="band1Horz">
      <w:tblPr/>
      <w:tcPr>
        <w:shd w:val="clear" w:color="auto" w:fill="D9C9B6" w:themeFill="accent4" w:themeFillTint="7F"/>
      </w:tcPr>
    </w:tblStylePr>
  </w:style>
  <w:style w:type="table" w:styleId="ColorfulGrid-Accent5">
    <w:name w:val="Colorful Grid Accent 5"/>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FE4E5" w:themeFill="accent5" w:themeFillTint="33"/>
    </w:tcPr>
    <w:tblStylePr w:type="firstRow">
      <w:rPr>
        <w:b/>
        <w:bCs/>
      </w:rPr>
      <w:tblPr/>
      <w:tcPr>
        <w:shd w:val="clear" w:color="auto" w:fill="C1C9CB" w:themeFill="accent5" w:themeFillTint="66"/>
      </w:tcPr>
    </w:tblStylePr>
    <w:tblStylePr w:type="lastRow">
      <w:rPr>
        <w:b/>
        <w:bCs/>
        <w:color w:val="000000" w:themeColor="text1"/>
      </w:rPr>
      <w:tblPr/>
      <w:tcPr>
        <w:shd w:val="clear" w:color="auto" w:fill="C1C9CB" w:themeFill="accent5" w:themeFillTint="66"/>
      </w:tcPr>
    </w:tblStylePr>
    <w:tblStylePr w:type="firstCol">
      <w:rPr>
        <w:color w:val="FFFFFF" w:themeColor="background1"/>
      </w:rPr>
      <w:tblPr/>
      <w:tcPr>
        <w:shd w:val="clear" w:color="auto" w:fill="4D595B" w:themeFill="accent5" w:themeFillShade="BF"/>
      </w:tcPr>
    </w:tblStylePr>
    <w:tblStylePr w:type="lastCol">
      <w:rPr>
        <w:color w:val="FFFFFF" w:themeColor="background1"/>
      </w:rPr>
      <w:tblPr/>
      <w:tcPr>
        <w:shd w:val="clear" w:color="auto" w:fill="4D595B" w:themeFill="accent5" w:themeFillShade="BF"/>
      </w:tcPr>
    </w:tblStylePr>
    <w:tblStylePr w:type="band1Vert">
      <w:tblPr/>
      <w:tcPr>
        <w:shd w:val="clear" w:color="auto" w:fill="B1BCBE" w:themeFill="accent5" w:themeFillTint="7F"/>
      </w:tcPr>
    </w:tblStylePr>
    <w:tblStylePr w:type="band1Horz">
      <w:tblPr/>
      <w:tcPr>
        <w:shd w:val="clear" w:color="auto" w:fill="B1BCBE" w:themeFill="accent5" w:themeFillTint="7F"/>
      </w:tcPr>
    </w:tblStylePr>
  </w:style>
  <w:style w:type="table" w:styleId="ColorfulGrid-Accent6">
    <w:name w:val="Colorful Grid Accent 6"/>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E9E2" w:themeFill="accent6" w:themeFillTint="33"/>
    </w:tcPr>
    <w:tblStylePr w:type="firstRow">
      <w:rPr>
        <w:b/>
        <w:bCs/>
      </w:rPr>
      <w:tblPr/>
      <w:tcPr>
        <w:shd w:val="clear" w:color="auto" w:fill="D7D3C5" w:themeFill="accent6" w:themeFillTint="66"/>
      </w:tcPr>
    </w:tblStylePr>
    <w:tblStylePr w:type="lastRow">
      <w:rPr>
        <w:b/>
        <w:bCs/>
        <w:color w:val="000000" w:themeColor="text1"/>
      </w:rPr>
      <w:tblPr/>
      <w:tcPr>
        <w:shd w:val="clear" w:color="auto" w:fill="D7D3C5" w:themeFill="accent6" w:themeFillTint="66"/>
      </w:tcPr>
    </w:tblStylePr>
    <w:tblStylePr w:type="firstCol">
      <w:rPr>
        <w:color w:val="FFFFFF" w:themeColor="background1"/>
      </w:rPr>
      <w:tblPr/>
      <w:tcPr>
        <w:shd w:val="clear" w:color="auto" w:fill="776E51" w:themeFill="accent6" w:themeFillShade="BF"/>
      </w:tcPr>
    </w:tblStylePr>
    <w:tblStylePr w:type="lastCol">
      <w:rPr>
        <w:color w:val="FFFFFF" w:themeColor="background1"/>
      </w:rPr>
      <w:tblPr/>
      <w:tcPr>
        <w:shd w:val="clear" w:color="auto" w:fill="776E51" w:themeFill="accent6" w:themeFillShade="BF"/>
      </w:tcPr>
    </w:tblStylePr>
    <w:tblStylePr w:type="band1Vert">
      <w:tblPr/>
      <w:tcPr>
        <w:shd w:val="clear" w:color="auto" w:fill="CEC9B7" w:themeFill="accent6" w:themeFillTint="7F"/>
      </w:tcPr>
    </w:tblStylePr>
    <w:tblStylePr w:type="band1Horz">
      <w:tblPr/>
      <w:tcPr>
        <w:shd w:val="clear" w:color="auto" w:fill="CEC9B7" w:themeFill="accent6" w:themeFillTint="7F"/>
      </w:tcPr>
    </w:tblStylePr>
  </w:style>
  <w:style w:type="table" w:styleId="ColorfulList">
    <w:name w:val="Colorful List"/>
    <w:basedOn w:val="TableNormal"/>
    <w:uiPriority w:val="7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56E3A" w:themeFill="accent2" w:themeFillShade="CC"/>
      </w:tcPr>
    </w:tblStylePr>
    <w:tblStylePr w:type="lastRow">
      <w:rPr>
        <w:b/>
        <w:bCs/>
        <w:color w:val="B56E3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pPr>
      <w:spacing w:after="0" w:line="240" w:lineRule="auto"/>
    </w:pPr>
    <w:rPr>
      <w:color w:val="000000" w:themeColor="text1"/>
    </w:rPr>
    <w:tblPr>
      <w:tblStyleRowBandSize w:val="1"/>
      <w:tblStyleColBandSize w:val="1"/>
    </w:tblPr>
    <w:tcPr>
      <w:shd w:val="clear" w:color="auto" w:fill="F2F4F6" w:themeFill="accent1" w:themeFillTint="19"/>
    </w:tcPr>
    <w:tblStylePr w:type="firstRow">
      <w:rPr>
        <w:b/>
        <w:bCs/>
        <w:color w:val="FFFFFF" w:themeColor="background1"/>
      </w:rPr>
      <w:tblPr/>
      <w:tcPr>
        <w:tcBorders>
          <w:bottom w:val="single" w:sz="12" w:space="0" w:color="FFFFFF" w:themeColor="background1"/>
        </w:tcBorders>
        <w:shd w:val="clear" w:color="auto" w:fill="B56E3A" w:themeFill="accent2" w:themeFillShade="CC"/>
      </w:tcPr>
    </w:tblStylePr>
    <w:tblStylePr w:type="lastRow">
      <w:rPr>
        <w:b/>
        <w:bCs/>
        <w:color w:val="B56E3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E5EA" w:themeFill="accent1" w:themeFillTint="3F"/>
      </w:tcPr>
    </w:tblStylePr>
    <w:tblStylePr w:type="band1Horz">
      <w:tblPr/>
      <w:tcPr>
        <w:shd w:val="clear" w:color="auto" w:fill="E5EAEE" w:themeFill="accent1" w:themeFillTint="33"/>
      </w:tcPr>
    </w:tblStylePr>
  </w:style>
  <w:style w:type="table" w:styleId="ColorfulList-Accent2">
    <w:name w:val="Colorful List Accent 2"/>
    <w:basedOn w:val="TableNormal"/>
    <w:uiPriority w:val="72"/>
    <w:pPr>
      <w:spacing w:after="0" w:line="240" w:lineRule="auto"/>
    </w:pPr>
    <w:rPr>
      <w:color w:val="000000" w:themeColor="text1"/>
    </w:rPr>
    <w:tblPr>
      <w:tblStyleRowBandSize w:val="1"/>
      <w:tblStyleColBandSize w:val="1"/>
    </w:tblPr>
    <w:tcPr>
      <w:shd w:val="clear" w:color="auto" w:fill="FAF3EF" w:themeFill="accent2" w:themeFillTint="19"/>
    </w:tcPr>
    <w:tblStylePr w:type="firstRow">
      <w:rPr>
        <w:b/>
        <w:bCs/>
        <w:color w:val="FFFFFF" w:themeColor="background1"/>
      </w:rPr>
      <w:tblPr/>
      <w:tcPr>
        <w:tcBorders>
          <w:bottom w:val="single" w:sz="12" w:space="0" w:color="FFFFFF" w:themeColor="background1"/>
        </w:tcBorders>
        <w:shd w:val="clear" w:color="auto" w:fill="B56E3A" w:themeFill="accent2" w:themeFillShade="CC"/>
      </w:tcPr>
    </w:tblStylePr>
    <w:tblStylePr w:type="lastRow">
      <w:rPr>
        <w:b/>
        <w:bCs/>
        <w:color w:val="B56E3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E2D7" w:themeFill="accent2" w:themeFillTint="3F"/>
      </w:tcPr>
    </w:tblStylePr>
    <w:tblStylePr w:type="band1Horz">
      <w:tblPr/>
      <w:tcPr>
        <w:shd w:val="clear" w:color="auto" w:fill="F4E8DF" w:themeFill="accent2" w:themeFillTint="33"/>
      </w:tcPr>
    </w:tblStylePr>
  </w:style>
  <w:style w:type="table" w:styleId="ColorfulList-Accent3">
    <w:name w:val="Colorful List Accent 3"/>
    <w:basedOn w:val="TableNormal"/>
    <w:uiPriority w:val="72"/>
    <w:pPr>
      <w:spacing w:after="0" w:line="240" w:lineRule="auto"/>
    </w:pPr>
    <w:rPr>
      <w:color w:val="000000" w:themeColor="text1"/>
    </w:rPr>
    <w:tblPr>
      <w:tblStyleRowBandSize w:val="1"/>
      <w:tblStyleColBandSize w:val="1"/>
    </w:tblPr>
    <w:tcPr>
      <w:shd w:val="clear" w:color="auto" w:fill="F2F0EE" w:themeFill="accent3" w:themeFillTint="19"/>
    </w:tcPr>
    <w:tblStylePr w:type="firstRow">
      <w:rPr>
        <w:b/>
        <w:bCs/>
        <w:color w:val="FFFFFF" w:themeColor="background1"/>
      </w:rPr>
      <w:tblPr/>
      <w:tcPr>
        <w:tcBorders>
          <w:bottom w:val="single" w:sz="12" w:space="0" w:color="FFFFFF" w:themeColor="background1"/>
        </w:tcBorders>
        <w:shd w:val="clear" w:color="auto" w:fill="98754E" w:themeFill="accent4" w:themeFillShade="CC"/>
      </w:tcPr>
    </w:tblStylePr>
    <w:tblStylePr w:type="lastRow">
      <w:rPr>
        <w:b/>
        <w:bCs/>
        <w:color w:val="98754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9D6" w:themeFill="accent3" w:themeFillTint="3F"/>
      </w:tcPr>
    </w:tblStylePr>
    <w:tblStylePr w:type="band1Horz">
      <w:tblPr/>
      <w:tcPr>
        <w:shd w:val="clear" w:color="auto" w:fill="E5E0DE" w:themeFill="accent3" w:themeFillTint="33"/>
      </w:tcPr>
    </w:tblStylePr>
  </w:style>
  <w:style w:type="table" w:styleId="ColorfulList-Accent4">
    <w:name w:val="Colorful List Accent 4"/>
    <w:basedOn w:val="TableNormal"/>
    <w:uiPriority w:val="72"/>
    <w:pPr>
      <w:spacing w:after="0" w:line="240" w:lineRule="auto"/>
    </w:pPr>
    <w:rPr>
      <w:color w:val="000000" w:themeColor="text1"/>
    </w:rPr>
    <w:tblPr>
      <w:tblStyleRowBandSize w:val="1"/>
      <w:tblStyleColBandSize w:val="1"/>
    </w:tblPr>
    <w:tcPr>
      <w:shd w:val="clear" w:color="auto" w:fill="F7F4F0" w:themeFill="accent4" w:themeFillTint="19"/>
    </w:tcPr>
    <w:tblStylePr w:type="firstRow">
      <w:rPr>
        <w:b/>
        <w:bCs/>
        <w:color w:val="FFFFFF" w:themeColor="background1"/>
      </w:rPr>
      <w:tblPr/>
      <w:tcPr>
        <w:tcBorders>
          <w:bottom w:val="single" w:sz="12" w:space="0" w:color="FFFFFF" w:themeColor="background1"/>
        </w:tcBorders>
        <w:shd w:val="clear" w:color="auto" w:fill="61544C" w:themeFill="accent3" w:themeFillShade="CC"/>
      </w:tcPr>
    </w:tblStylePr>
    <w:tblStylePr w:type="lastRow">
      <w:rPr>
        <w:b/>
        <w:bCs/>
        <w:color w:val="61544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4DA" w:themeFill="accent4" w:themeFillTint="3F"/>
      </w:tcPr>
    </w:tblStylePr>
    <w:tblStylePr w:type="band1Horz">
      <w:tblPr/>
      <w:tcPr>
        <w:shd w:val="clear" w:color="auto" w:fill="F0E9E1" w:themeFill="accent4" w:themeFillTint="33"/>
      </w:tcPr>
    </w:tblStylePr>
  </w:style>
  <w:style w:type="table" w:styleId="ColorfulList-Accent5">
    <w:name w:val="Colorful List Accent 5"/>
    <w:basedOn w:val="TableNormal"/>
    <w:uiPriority w:val="72"/>
    <w:pPr>
      <w:spacing w:after="0" w:line="240" w:lineRule="auto"/>
    </w:pPr>
    <w:rPr>
      <w:color w:val="000000" w:themeColor="text1"/>
    </w:rPr>
    <w:tblPr>
      <w:tblStyleRowBandSize w:val="1"/>
      <w:tblStyleColBandSize w:val="1"/>
    </w:tblPr>
    <w:tcPr>
      <w:shd w:val="clear" w:color="auto" w:fill="EFF1F2" w:themeFill="accent5" w:themeFillTint="19"/>
    </w:tcPr>
    <w:tblStylePr w:type="firstRow">
      <w:rPr>
        <w:b/>
        <w:bCs/>
        <w:color w:val="FFFFFF" w:themeColor="background1"/>
      </w:rPr>
      <w:tblPr/>
      <w:tcPr>
        <w:tcBorders>
          <w:bottom w:val="single" w:sz="12" w:space="0" w:color="FFFFFF" w:themeColor="background1"/>
        </w:tcBorders>
        <w:shd w:val="clear" w:color="auto" w:fill="7F7657" w:themeFill="accent6" w:themeFillShade="CC"/>
      </w:tcPr>
    </w:tblStylePr>
    <w:tblStylePr w:type="lastRow">
      <w:rPr>
        <w:b/>
        <w:bCs/>
        <w:color w:val="7F7657"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DEDF" w:themeFill="accent5" w:themeFillTint="3F"/>
      </w:tcPr>
    </w:tblStylePr>
    <w:tblStylePr w:type="band1Horz">
      <w:tblPr/>
      <w:tcPr>
        <w:shd w:val="clear" w:color="auto" w:fill="DFE4E5" w:themeFill="accent5" w:themeFillTint="33"/>
      </w:tcPr>
    </w:tblStylePr>
  </w:style>
  <w:style w:type="table" w:styleId="ColorfulList-Accent6">
    <w:name w:val="Colorful List Accent 6"/>
    <w:basedOn w:val="TableNormal"/>
    <w:uiPriority w:val="72"/>
    <w:pPr>
      <w:spacing w:after="0" w:line="240" w:lineRule="auto"/>
    </w:pPr>
    <w:rPr>
      <w:color w:val="000000" w:themeColor="text1"/>
    </w:rPr>
    <w:tblPr>
      <w:tblStyleRowBandSize w:val="1"/>
      <w:tblStyleColBandSize w:val="1"/>
    </w:tblPr>
    <w:tcPr>
      <w:shd w:val="clear" w:color="auto" w:fill="F5F4F0" w:themeFill="accent6" w:themeFillTint="19"/>
    </w:tcPr>
    <w:tblStylePr w:type="firstRow">
      <w:rPr>
        <w:b/>
        <w:bCs/>
        <w:color w:val="FFFFFF" w:themeColor="background1"/>
      </w:rPr>
      <w:tblPr/>
      <w:tcPr>
        <w:tcBorders>
          <w:bottom w:val="single" w:sz="12" w:space="0" w:color="FFFFFF" w:themeColor="background1"/>
        </w:tcBorders>
        <w:shd w:val="clear" w:color="auto" w:fill="525F62" w:themeFill="accent5" w:themeFillShade="CC"/>
      </w:tcPr>
    </w:tblStylePr>
    <w:tblStylePr w:type="lastRow">
      <w:rPr>
        <w:b/>
        <w:bCs/>
        <w:color w:val="525F62"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4DB" w:themeFill="accent6" w:themeFillTint="3F"/>
      </w:tcPr>
    </w:tblStylePr>
    <w:tblStylePr w:type="band1Horz">
      <w:tblPr/>
      <w:tcPr>
        <w:shd w:val="clear" w:color="auto" w:fill="EBE9E2" w:themeFill="accent6" w:themeFillTint="33"/>
      </w:tcPr>
    </w:tblStylePr>
  </w:style>
  <w:style w:type="table" w:styleId="ColorfulShading">
    <w:name w:val="Colorful Shading"/>
    <w:basedOn w:val="TableNormal"/>
    <w:uiPriority w:val="71"/>
    <w:pPr>
      <w:spacing w:after="0" w:line="240" w:lineRule="auto"/>
    </w:pPr>
    <w:rPr>
      <w:color w:val="000000" w:themeColor="text1"/>
    </w:rPr>
    <w:tblPr>
      <w:tblStyleRowBandSize w:val="1"/>
      <w:tblStyleColBandSize w:val="1"/>
      <w:tblBorders>
        <w:top w:val="single" w:sz="24" w:space="0" w:color="CC8E6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C8E6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pPr>
      <w:spacing w:after="0" w:line="240" w:lineRule="auto"/>
    </w:pPr>
    <w:rPr>
      <w:color w:val="000000" w:themeColor="text1"/>
    </w:rPr>
    <w:tblPr>
      <w:tblStyleRowBandSize w:val="1"/>
      <w:tblStyleColBandSize w:val="1"/>
      <w:tblBorders>
        <w:top w:val="single" w:sz="24" w:space="0" w:color="CC8E60" w:themeColor="accent2"/>
        <w:left w:val="single" w:sz="4" w:space="0" w:color="7E97AD" w:themeColor="accent1"/>
        <w:bottom w:val="single" w:sz="4" w:space="0" w:color="7E97AD" w:themeColor="accent1"/>
        <w:right w:val="single" w:sz="4" w:space="0" w:color="7E97AD" w:themeColor="accent1"/>
        <w:insideH w:val="single" w:sz="4" w:space="0" w:color="FFFFFF" w:themeColor="background1"/>
        <w:insideV w:val="single" w:sz="4" w:space="0" w:color="FFFFFF" w:themeColor="background1"/>
      </w:tblBorders>
    </w:tblPr>
    <w:tcPr>
      <w:shd w:val="clear" w:color="auto" w:fill="F2F4F6" w:themeFill="accent1" w:themeFillTint="19"/>
    </w:tcPr>
    <w:tblStylePr w:type="firstRow">
      <w:rPr>
        <w:b/>
        <w:bCs/>
      </w:rPr>
      <w:tblPr/>
      <w:tcPr>
        <w:tcBorders>
          <w:top w:val="nil"/>
          <w:left w:val="nil"/>
          <w:bottom w:val="single" w:sz="24" w:space="0" w:color="CC8E6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55A6D" w:themeFill="accent1" w:themeFillShade="99"/>
      </w:tcPr>
    </w:tblStylePr>
    <w:tblStylePr w:type="firstCol">
      <w:rPr>
        <w:color w:val="FFFFFF" w:themeColor="background1"/>
      </w:rPr>
      <w:tblPr/>
      <w:tcPr>
        <w:tcBorders>
          <w:top w:val="nil"/>
          <w:left w:val="nil"/>
          <w:bottom w:val="nil"/>
          <w:right w:val="nil"/>
          <w:insideH w:val="single" w:sz="4" w:space="0" w:color="455A6D" w:themeColor="accent1" w:themeShade="99"/>
          <w:insideV w:val="nil"/>
        </w:tcBorders>
        <w:shd w:val="clear" w:color="auto" w:fill="455A6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455A6D" w:themeFill="accent1" w:themeFillShade="99"/>
      </w:tcPr>
    </w:tblStylePr>
    <w:tblStylePr w:type="band1Vert">
      <w:tblPr/>
      <w:tcPr>
        <w:shd w:val="clear" w:color="auto" w:fill="CBD5DE" w:themeFill="accent1" w:themeFillTint="66"/>
      </w:tcPr>
    </w:tblStylePr>
    <w:tblStylePr w:type="band1Horz">
      <w:tblPr/>
      <w:tcPr>
        <w:shd w:val="clear" w:color="auto" w:fill="BECBD6"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pPr>
      <w:spacing w:after="0" w:line="240" w:lineRule="auto"/>
    </w:pPr>
    <w:rPr>
      <w:color w:val="000000" w:themeColor="text1"/>
    </w:rPr>
    <w:tblPr>
      <w:tblStyleRowBandSize w:val="1"/>
      <w:tblStyleColBandSize w:val="1"/>
      <w:tblBorders>
        <w:top w:val="single" w:sz="24" w:space="0" w:color="CC8E60" w:themeColor="accent2"/>
        <w:left w:val="single" w:sz="4" w:space="0" w:color="CC8E60" w:themeColor="accent2"/>
        <w:bottom w:val="single" w:sz="4" w:space="0" w:color="CC8E60" w:themeColor="accent2"/>
        <w:right w:val="single" w:sz="4" w:space="0" w:color="CC8E60" w:themeColor="accent2"/>
        <w:insideH w:val="single" w:sz="4" w:space="0" w:color="FFFFFF" w:themeColor="background1"/>
        <w:insideV w:val="single" w:sz="4" w:space="0" w:color="FFFFFF" w:themeColor="background1"/>
      </w:tblBorders>
    </w:tblPr>
    <w:tcPr>
      <w:shd w:val="clear" w:color="auto" w:fill="FAF3EF" w:themeFill="accent2" w:themeFillTint="19"/>
    </w:tcPr>
    <w:tblStylePr w:type="firstRow">
      <w:rPr>
        <w:b/>
        <w:bCs/>
      </w:rPr>
      <w:tblPr/>
      <w:tcPr>
        <w:tcBorders>
          <w:top w:val="nil"/>
          <w:left w:val="nil"/>
          <w:bottom w:val="single" w:sz="24" w:space="0" w:color="CC8E6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8522B" w:themeFill="accent2" w:themeFillShade="99"/>
      </w:tcPr>
    </w:tblStylePr>
    <w:tblStylePr w:type="firstCol">
      <w:rPr>
        <w:color w:val="FFFFFF" w:themeColor="background1"/>
      </w:rPr>
      <w:tblPr/>
      <w:tcPr>
        <w:tcBorders>
          <w:top w:val="nil"/>
          <w:left w:val="nil"/>
          <w:bottom w:val="nil"/>
          <w:right w:val="nil"/>
          <w:insideH w:val="single" w:sz="4" w:space="0" w:color="88522B" w:themeColor="accent2" w:themeShade="99"/>
          <w:insideV w:val="nil"/>
        </w:tcBorders>
        <w:shd w:val="clear" w:color="auto" w:fill="88522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8522B" w:themeFill="accent2" w:themeFillShade="99"/>
      </w:tcPr>
    </w:tblStylePr>
    <w:tblStylePr w:type="band1Vert">
      <w:tblPr/>
      <w:tcPr>
        <w:shd w:val="clear" w:color="auto" w:fill="EAD1BF" w:themeFill="accent2" w:themeFillTint="66"/>
      </w:tcPr>
    </w:tblStylePr>
    <w:tblStylePr w:type="band1Horz">
      <w:tblPr/>
      <w:tcPr>
        <w:shd w:val="clear" w:color="auto" w:fill="E5C6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pPr>
      <w:spacing w:after="0" w:line="240" w:lineRule="auto"/>
    </w:pPr>
    <w:rPr>
      <w:color w:val="000000" w:themeColor="text1"/>
    </w:rPr>
    <w:tblPr>
      <w:tblStyleRowBandSize w:val="1"/>
      <w:tblStyleColBandSize w:val="1"/>
      <w:tblBorders>
        <w:top w:val="single" w:sz="24" w:space="0" w:color="B4936D" w:themeColor="accent4"/>
        <w:left w:val="single" w:sz="4" w:space="0" w:color="7A6A60" w:themeColor="accent3"/>
        <w:bottom w:val="single" w:sz="4" w:space="0" w:color="7A6A60" w:themeColor="accent3"/>
        <w:right w:val="single" w:sz="4" w:space="0" w:color="7A6A60" w:themeColor="accent3"/>
        <w:insideH w:val="single" w:sz="4" w:space="0" w:color="FFFFFF" w:themeColor="background1"/>
        <w:insideV w:val="single" w:sz="4" w:space="0" w:color="FFFFFF" w:themeColor="background1"/>
      </w:tblBorders>
    </w:tblPr>
    <w:tcPr>
      <w:shd w:val="clear" w:color="auto" w:fill="F2F0EE" w:themeFill="accent3" w:themeFillTint="19"/>
    </w:tcPr>
    <w:tblStylePr w:type="firstRow">
      <w:rPr>
        <w:b/>
        <w:bCs/>
      </w:rPr>
      <w:tblPr/>
      <w:tcPr>
        <w:tcBorders>
          <w:top w:val="nil"/>
          <w:left w:val="nil"/>
          <w:bottom w:val="single" w:sz="24" w:space="0" w:color="B4936D"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3F39" w:themeFill="accent3" w:themeFillShade="99"/>
      </w:tcPr>
    </w:tblStylePr>
    <w:tblStylePr w:type="firstCol">
      <w:rPr>
        <w:color w:val="FFFFFF" w:themeColor="background1"/>
      </w:rPr>
      <w:tblPr/>
      <w:tcPr>
        <w:tcBorders>
          <w:top w:val="nil"/>
          <w:left w:val="nil"/>
          <w:bottom w:val="nil"/>
          <w:right w:val="nil"/>
          <w:insideH w:val="single" w:sz="4" w:space="0" w:color="493F39" w:themeColor="accent3" w:themeShade="99"/>
          <w:insideV w:val="nil"/>
        </w:tcBorders>
        <w:shd w:val="clear" w:color="auto" w:fill="493F39"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3F39" w:themeFill="accent3" w:themeFillShade="99"/>
      </w:tcPr>
    </w:tblStylePr>
    <w:tblStylePr w:type="band1Vert">
      <w:tblPr/>
      <w:tcPr>
        <w:shd w:val="clear" w:color="auto" w:fill="CBC2BD" w:themeFill="accent3" w:themeFillTint="66"/>
      </w:tcPr>
    </w:tblStylePr>
    <w:tblStylePr w:type="band1Horz">
      <w:tblPr/>
      <w:tcPr>
        <w:shd w:val="clear" w:color="auto" w:fill="BEB4AD" w:themeFill="accent3" w:themeFillTint="7F"/>
      </w:tcPr>
    </w:tblStylePr>
  </w:style>
  <w:style w:type="table" w:styleId="ColorfulShading-Accent4">
    <w:name w:val="Colorful Shading Accent 4"/>
    <w:basedOn w:val="TableNormal"/>
    <w:uiPriority w:val="71"/>
    <w:pPr>
      <w:spacing w:after="0" w:line="240" w:lineRule="auto"/>
    </w:pPr>
    <w:rPr>
      <w:color w:val="000000" w:themeColor="text1"/>
    </w:rPr>
    <w:tblPr>
      <w:tblStyleRowBandSize w:val="1"/>
      <w:tblStyleColBandSize w:val="1"/>
      <w:tblBorders>
        <w:top w:val="single" w:sz="24" w:space="0" w:color="7A6A60" w:themeColor="accent3"/>
        <w:left w:val="single" w:sz="4" w:space="0" w:color="B4936D" w:themeColor="accent4"/>
        <w:bottom w:val="single" w:sz="4" w:space="0" w:color="B4936D" w:themeColor="accent4"/>
        <w:right w:val="single" w:sz="4" w:space="0" w:color="B4936D" w:themeColor="accent4"/>
        <w:insideH w:val="single" w:sz="4" w:space="0" w:color="FFFFFF" w:themeColor="background1"/>
        <w:insideV w:val="single" w:sz="4" w:space="0" w:color="FFFFFF" w:themeColor="background1"/>
      </w:tblBorders>
    </w:tblPr>
    <w:tcPr>
      <w:shd w:val="clear" w:color="auto" w:fill="F7F4F0" w:themeFill="accent4" w:themeFillTint="19"/>
    </w:tcPr>
    <w:tblStylePr w:type="firstRow">
      <w:rPr>
        <w:b/>
        <w:bCs/>
      </w:rPr>
      <w:tblPr/>
      <w:tcPr>
        <w:tcBorders>
          <w:top w:val="nil"/>
          <w:left w:val="nil"/>
          <w:bottom w:val="single" w:sz="24" w:space="0" w:color="7A6A6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2583B" w:themeFill="accent4" w:themeFillShade="99"/>
      </w:tcPr>
    </w:tblStylePr>
    <w:tblStylePr w:type="firstCol">
      <w:rPr>
        <w:color w:val="FFFFFF" w:themeColor="background1"/>
      </w:rPr>
      <w:tblPr/>
      <w:tcPr>
        <w:tcBorders>
          <w:top w:val="nil"/>
          <w:left w:val="nil"/>
          <w:bottom w:val="nil"/>
          <w:right w:val="nil"/>
          <w:insideH w:val="single" w:sz="4" w:space="0" w:color="72583B" w:themeColor="accent4" w:themeShade="99"/>
          <w:insideV w:val="nil"/>
        </w:tcBorders>
        <w:shd w:val="clear" w:color="auto" w:fill="72583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72583B" w:themeFill="accent4" w:themeFillShade="99"/>
      </w:tcPr>
    </w:tblStylePr>
    <w:tblStylePr w:type="band1Vert">
      <w:tblPr/>
      <w:tcPr>
        <w:shd w:val="clear" w:color="auto" w:fill="E1D3C4" w:themeFill="accent4" w:themeFillTint="66"/>
      </w:tcPr>
    </w:tblStylePr>
    <w:tblStylePr w:type="band1Horz">
      <w:tblPr/>
      <w:tcPr>
        <w:shd w:val="clear" w:color="auto" w:fill="D9C9B6"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pPr>
      <w:spacing w:after="0" w:line="240" w:lineRule="auto"/>
    </w:pPr>
    <w:rPr>
      <w:color w:val="000000" w:themeColor="text1"/>
    </w:rPr>
    <w:tblPr>
      <w:tblStyleRowBandSize w:val="1"/>
      <w:tblStyleColBandSize w:val="1"/>
      <w:tblBorders>
        <w:top w:val="single" w:sz="24" w:space="0" w:color="9D936F" w:themeColor="accent6"/>
        <w:left w:val="single" w:sz="4" w:space="0" w:color="67787B" w:themeColor="accent5"/>
        <w:bottom w:val="single" w:sz="4" w:space="0" w:color="67787B" w:themeColor="accent5"/>
        <w:right w:val="single" w:sz="4" w:space="0" w:color="67787B" w:themeColor="accent5"/>
        <w:insideH w:val="single" w:sz="4" w:space="0" w:color="FFFFFF" w:themeColor="background1"/>
        <w:insideV w:val="single" w:sz="4" w:space="0" w:color="FFFFFF" w:themeColor="background1"/>
      </w:tblBorders>
    </w:tblPr>
    <w:tcPr>
      <w:shd w:val="clear" w:color="auto" w:fill="EFF1F2" w:themeFill="accent5" w:themeFillTint="19"/>
    </w:tcPr>
    <w:tblStylePr w:type="firstRow">
      <w:rPr>
        <w:b/>
        <w:bCs/>
      </w:rPr>
      <w:tblPr/>
      <w:tcPr>
        <w:tcBorders>
          <w:top w:val="nil"/>
          <w:left w:val="nil"/>
          <w:bottom w:val="single" w:sz="24" w:space="0" w:color="9D936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D4749" w:themeFill="accent5" w:themeFillShade="99"/>
      </w:tcPr>
    </w:tblStylePr>
    <w:tblStylePr w:type="firstCol">
      <w:rPr>
        <w:color w:val="FFFFFF" w:themeColor="background1"/>
      </w:rPr>
      <w:tblPr/>
      <w:tcPr>
        <w:tcBorders>
          <w:top w:val="nil"/>
          <w:left w:val="nil"/>
          <w:bottom w:val="nil"/>
          <w:right w:val="nil"/>
          <w:insideH w:val="single" w:sz="4" w:space="0" w:color="3D4749" w:themeColor="accent5" w:themeShade="99"/>
          <w:insideV w:val="nil"/>
        </w:tcBorders>
        <w:shd w:val="clear" w:color="auto" w:fill="3D474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D4749" w:themeFill="accent5" w:themeFillShade="99"/>
      </w:tcPr>
    </w:tblStylePr>
    <w:tblStylePr w:type="band1Vert">
      <w:tblPr/>
      <w:tcPr>
        <w:shd w:val="clear" w:color="auto" w:fill="C1C9CB" w:themeFill="accent5" w:themeFillTint="66"/>
      </w:tcPr>
    </w:tblStylePr>
    <w:tblStylePr w:type="band1Horz">
      <w:tblPr/>
      <w:tcPr>
        <w:shd w:val="clear" w:color="auto" w:fill="B1BCB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pPr>
      <w:spacing w:after="0" w:line="240" w:lineRule="auto"/>
    </w:pPr>
    <w:rPr>
      <w:color w:val="000000" w:themeColor="text1"/>
    </w:rPr>
    <w:tblPr>
      <w:tblStyleRowBandSize w:val="1"/>
      <w:tblStyleColBandSize w:val="1"/>
      <w:tblBorders>
        <w:top w:val="single" w:sz="24" w:space="0" w:color="67787B" w:themeColor="accent5"/>
        <w:left w:val="single" w:sz="4" w:space="0" w:color="9D936F" w:themeColor="accent6"/>
        <w:bottom w:val="single" w:sz="4" w:space="0" w:color="9D936F" w:themeColor="accent6"/>
        <w:right w:val="single" w:sz="4" w:space="0" w:color="9D936F" w:themeColor="accent6"/>
        <w:insideH w:val="single" w:sz="4" w:space="0" w:color="FFFFFF" w:themeColor="background1"/>
        <w:insideV w:val="single" w:sz="4" w:space="0" w:color="FFFFFF" w:themeColor="background1"/>
      </w:tblBorders>
    </w:tblPr>
    <w:tcPr>
      <w:shd w:val="clear" w:color="auto" w:fill="F5F4F0" w:themeFill="accent6" w:themeFillTint="19"/>
    </w:tcPr>
    <w:tblStylePr w:type="firstRow">
      <w:rPr>
        <w:b/>
        <w:bCs/>
      </w:rPr>
      <w:tblPr/>
      <w:tcPr>
        <w:tcBorders>
          <w:top w:val="nil"/>
          <w:left w:val="nil"/>
          <w:bottom w:val="single" w:sz="24" w:space="0" w:color="67787B"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5841" w:themeFill="accent6" w:themeFillShade="99"/>
      </w:tcPr>
    </w:tblStylePr>
    <w:tblStylePr w:type="firstCol">
      <w:rPr>
        <w:color w:val="FFFFFF" w:themeColor="background1"/>
      </w:rPr>
      <w:tblPr/>
      <w:tcPr>
        <w:tcBorders>
          <w:top w:val="nil"/>
          <w:left w:val="nil"/>
          <w:bottom w:val="nil"/>
          <w:right w:val="nil"/>
          <w:insideH w:val="single" w:sz="4" w:space="0" w:color="5F5841" w:themeColor="accent6" w:themeShade="99"/>
          <w:insideV w:val="nil"/>
        </w:tcBorders>
        <w:shd w:val="clear" w:color="auto" w:fill="5F584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F5841" w:themeFill="accent6" w:themeFillShade="99"/>
      </w:tcPr>
    </w:tblStylePr>
    <w:tblStylePr w:type="band1Vert">
      <w:tblPr/>
      <w:tcPr>
        <w:shd w:val="clear" w:color="auto" w:fill="D7D3C5" w:themeFill="accent6" w:themeFillTint="66"/>
      </w:tcPr>
    </w:tblStylePr>
    <w:tblStylePr w:type="band1Horz">
      <w:tblPr/>
      <w:tcPr>
        <w:shd w:val="clear" w:color="auto" w:fill="CEC9B7"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Pr>
      <w:sz w:val="16"/>
    </w:r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rPr>
  </w:style>
  <w:style w:type="table" w:styleId="DarkList">
    <w:name w:val="Dark List"/>
    <w:basedOn w:val="TableNormal"/>
    <w:uiPriority w:val="7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pPr>
      <w:spacing w:after="0" w:line="240" w:lineRule="auto"/>
    </w:pPr>
    <w:rPr>
      <w:color w:val="FFFFFF" w:themeColor="background1"/>
    </w:rPr>
    <w:tblPr>
      <w:tblStyleRowBandSize w:val="1"/>
      <w:tblStyleColBandSize w:val="1"/>
    </w:tblPr>
    <w:tcPr>
      <w:shd w:val="clear" w:color="auto" w:fill="7E97A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94B5A"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57718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577188" w:themeFill="accent1" w:themeFillShade="BF"/>
      </w:tcPr>
    </w:tblStylePr>
    <w:tblStylePr w:type="band1Vert">
      <w:tblPr/>
      <w:tcPr>
        <w:tcBorders>
          <w:top w:val="nil"/>
          <w:left w:val="nil"/>
          <w:bottom w:val="nil"/>
          <w:right w:val="nil"/>
          <w:insideH w:val="nil"/>
          <w:insideV w:val="nil"/>
        </w:tcBorders>
        <w:shd w:val="clear" w:color="auto" w:fill="577188" w:themeFill="accent1" w:themeFillShade="BF"/>
      </w:tcPr>
    </w:tblStylePr>
    <w:tblStylePr w:type="band1Horz">
      <w:tblPr/>
      <w:tcPr>
        <w:tcBorders>
          <w:top w:val="nil"/>
          <w:left w:val="nil"/>
          <w:bottom w:val="nil"/>
          <w:right w:val="nil"/>
          <w:insideH w:val="nil"/>
          <w:insideV w:val="nil"/>
        </w:tcBorders>
        <w:shd w:val="clear" w:color="auto" w:fill="577188" w:themeFill="accent1" w:themeFillShade="BF"/>
      </w:tcPr>
    </w:tblStylePr>
  </w:style>
  <w:style w:type="table" w:styleId="DarkList-Accent2">
    <w:name w:val="Dark List Accent 2"/>
    <w:basedOn w:val="TableNormal"/>
    <w:uiPriority w:val="70"/>
    <w:pPr>
      <w:spacing w:after="0" w:line="240" w:lineRule="auto"/>
    </w:pPr>
    <w:rPr>
      <w:color w:val="FFFFFF" w:themeColor="background1"/>
    </w:rPr>
    <w:tblPr>
      <w:tblStyleRowBandSize w:val="1"/>
      <w:tblStyleColBandSize w:val="1"/>
    </w:tblPr>
    <w:tcPr>
      <w:shd w:val="clear" w:color="auto" w:fill="CC8E6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1442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A673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A6736" w:themeFill="accent2" w:themeFillShade="BF"/>
      </w:tcPr>
    </w:tblStylePr>
    <w:tblStylePr w:type="band1Vert">
      <w:tblPr/>
      <w:tcPr>
        <w:tcBorders>
          <w:top w:val="nil"/>
          <w:left w:val="nil"/>
          <w:bottom w:val="nil"/>
          <w:right w:val="nil"/>
          <w:insideH w:val="nil"/>
          <w:insideV w:val="nil"/>
        </w:tcBorders>
        <w:shd w:val="clear" w:color="auto" w:fill="AA6736" w:themeFill="accent2" w:themeFillShade="BF"/>
      </w:tcPr>
    </w:tblStylePr>
    <w:tblStylePr w:type="band1Horz">
      <w:tblPr/>
      <w:tcPr>
        <w:tcBorders>
          <w:top w:val="nil"/>
          <w:left w:val="nil"/>
          <w:bottom w:val="nil"/>
          <w:right w:val="nil"/>
          <w:insideH w:val="nil"/>
          <w:insideV w:val="nil"/>
        </w:tcBorders>
        <w:shd w:val="clear" w:color="auto" w:fill="AA6736" w:themeFill="accent2" w:themeFillShade="BF"/>
      </w:tcPr>
    </w:tblStylePr>
  </w:style>
  <w:style w:type="table" w:styleId="DarkList-Accent3">
    <w:name w:val="Dark List Accent 3"/>
    <w:basedOn w:val="TableNormal"/>
    <w:uiPriority w:val="70"/>
    <w:pPr>
      <w:spacing w:after="0" w:line="240" w:lineRule="auto"/>
    </w:pPr>
    <w:rPr>
      <w:color w:val="FFFFFF" w:themeColor="background1"/>
    </w:rPr>
    <w:tblPr>
      <w:tblStyleRowBandSize w:val="1"/>
      <w:tblStyleColBandSize w:val="1"/>
    </w:tblPr>
    <w:tcPr>
      <w:shd w:val="clear" w:color="auto" w:fill="7A6A6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342F"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4F47"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4F47" w:themeFill="accent3" w:themeFillShade="BF"/>
      </w:tcPr>
    </w:tblStylePr>
    <w:tblStylePr w:type="band1Vert">
      <w:tblPr/>
      <w:tcPr>
        <w:tcBorders>
          <w:top w:val="nil"/>
          <w:left w:val="nil"/>
          <w:bottom w:val="nil"/>
          <w:right w:val="nil"/>
          <w:insideH w:val="nil"/>
          <w:insideV w:val="nil"/>
        </w:tcBorders>
        <w:shd w:val="clear" w:color="auto" w:fill="5B4F47" w:themeFill="accent3" w:themeFillShade="BF"/>
      </w:tcPr>
    </w:tblStylePr>
    <w:tblStylePr w:type="band1Horz">
      <w:tblPr/>
      <w:tcPr>
        <w:tcBorders>
          <w:top w:val="nil"/>
          <w:left w:val="nil"/>
          <w:bottom w:val="nil"/>
          <w:right w:val="nil"/>
          <w:insideH w:val="nil"/>
          <w:insideV w:val="nil"/>
        </w:tcBorders>
        <w:shd w:val="clear" w:color="auto" w:fill="5B4F47" w:themeFill="accent3" w:themeFillShade="BF"/>
      </w:tcPr>
    </w:tblStylePr>
  </w:style>
  <w:style w:type="table" w:styleId="DarkList-Accent4">
    <w:name w:val="Dark List Accent 4"/>
    <w:basedOn w:val="TableNormal"/>
    <w:uiPriority w:val="70"/>
    <w:pPr>
      <w:spacing w:after="0" w:line="240" w:lineRule="auto"/>
    </w:pPr>
    <w:rPr>
      <w:color w:val="FFFFFF" w:themeColor="background1"/>
    </w:rPr>
    <w:tblPr>
      <w:tblStyleRowBandSize w:val="1"/>
      <w:tblStyleColBandSize w:val="1"/>
    </w:tblPr>
    <w:tcPr>
      <w:shd w:val="clear" w:color="auto" w:fill="B4936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E493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E6E49"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E6E49" w:themeFill="accent4" w:themeFillShade="BF"/>
      </w:tcPr>
    </w:tblStylePr>
    <w:tblStylePr w:type="band1Vert">
      <w:tblPr/>
      <w:tcPr>
        <w:tcBorders>
          <w:top w:val="nil"/>
          <w:left w:val="nil"/>
          <w:bottom w:val="nil"/>
          <w:right w:val="nil"/>
          <w:insideH w:val="nil"/>
          <w:insideV w:val="nil"/>
        </w:tcBorders>
        <w:shd w:val="clear" w:color="auto" w:fill="8E6E49" w:themeFill="accent4" w:themeFillShade="BF"/>
      </w:tcPr>
    </w:tblStylePr>
    <w:tblStylePr w:type="band1Horz">
      <w:tblPr/>
      <w:tcPr>
        <w:tcBorders>
          <w:top w:val="nil"/>
          <w:left w:val="nil"/>
          <w:bottom w:val="nil"/>
          <w:right w:val="nil"/>
          <w:insideH w:val="nil"/>
          <w:insideV w:val="nil"/>
        </w:tcBorders>
        <w:shd w:val="clear" w:color="auto" w:fill="8E6E49" w:themeFill="accent4" w:themeFillShade="BF"/>
      </w:tcPr>
    </w:tblStylePr>
  </w:style>
  <w:style w:type="table" w:styleId="DarkList-Accent5">
    <w:name w:val="Dark List Accent 5"/>
    <w:basedOn w:val="TableNormal"/>
    <w:uiPriority w:val="70"/>
    <w:pPr>
      <w:spacing w:after="0" w:line="240" w:lineRule="auto"/>
    </w:pPr>
    <w:rPr>
      <w:color w:val="FFFFFF" w:themeColor="background1"/>
    </w:rPr>
    <w:tblPr>
      <w:tblStyleRowBandSize w:val="1"/>
      <w:tblStyleColBandSize w:val="1"/>
    </w:tblPr>
    <w:tcPr>
      <w:shd w:val="clear" w:color="auto" w:fill="67787B"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33B3D"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D595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D595B" w:themeFill="accent5" w:themeFillShade="BF"/>
      </w:tcPr>
    </w:tblStylePr>
    <w:tblStylePr w:type="band1Vert">
      <w:tblPr/>
      <w:tcPr>
        <w:tcBorders>
          <w:top w:val="nil"/>
          <w:left w:val="nil"/>
          <w:bottom w:val="nil"/>
          <w:right w:val="nil"/>
          <w:insideH w:val="nil"/>
          <w:insideV w:val="nil"/>
        </w:tcBorders>
        <w:shd w:val="clear" w:color="auto" w:fill="4D595B" w:themeFill="accent5" w:themeFillShade="BF"/>
      </w:tcPr>
    </w:tblStylePr>
    <w:tblStylePr w:type="band1Horz">
      <w:tblPr/>
      <w:tcPr>
        <w:tcBorders>
          <w:top w:val="nil"/>
          <w:left w:val="nil"/>
          <w:bottom w:val="nil"/>
          <w:right w:val="nil"/>
          <w:insideH w:val="nil"/>
          <w:insideV w:val="nil"/>
        </w:tcBorders>
        <w:shd w:val="clear" w:color="auto" w:fill="4D595B" w:themeFill="accent5" w:themeFillShade="BF"/>
      </w:tcPr>
    </w:tblStylePr>
  </w:style>
  <w:style w:type="table" w:styleId="DarkList-Accent6">
    <w:name w:val="Dark List Accent 6"/>
    <w:basedOn w:val="TableNormal"/>
    <w:uiPriority w:val="70"/>
    <w:pPr>
      <w:spacing w:after="0" w:line="240" w:lineRule="auto"/>
    </w:pPr>
    <w:rPr>
      <w:color w:val="FFFFFF" w:themeColor="background1"/>
    </w:rPr>
    <w:tblPr>
      <w:tblStyleRowBandSize w:val="1"/>
      <w:tblStyleColBandSize w:val="1"/>
    </w:tblPr>
    <w:tcPr>
      <w:shd w:val="clear" w:color="auto" w:fill="9D936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493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76E51"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76E51" w:themeFill="accent6" w:themeFillShade="BF"/>
      </w:tcPr>
    </w:tblStylePr>
    <w:tblStylePr w:type="band1Vert">
      <w:tblPr/>
      <w:tcPr>
        <w:tcBorders>
          <w:top w:val="nil"/>
          <w:left w:val="nil"/>
          <w:bottom w:val="nil"/>
          <w:right w:val="nil"/>
          <w:insideH w:val="nil"/>
          <w:insideV w:val="nil"/>
        </w:tcBorders>
        <w:shd w:val="clear" w:color="auto" w:fill="776E51" w:themeFill="accent6" w:themeFillShade="BF"/>
      </w:tcPr>
    </w:tblStylePr>
    <w:tblStylePr w:type="band1Horz">
      <w:tblPr/>
      <w:tcPr>
        <w:tcBorders>
          <w:top w:val="nil"/>
          <w:left w:val="nil"/>
          <w:bottom w:val="nil"/>
          <w:right w:val="nil"/>
          <w:insideH w:val="nil"/>
          <w:insideV w:val="nil"/>
        </w:tcBorders>
        <w:shd w:val="clear" w:color="auto" w:fill="776E51" w:themeFill="accent6" w:themeFillShade="BF"/>
      </w:tcPr>
    </w:tblStylePr>
  </w:style>
  <w:style w:type="paragraph" w:styleId="Date">
    <w:name w:val="Date"/>
    <w:basedOn w:val="Normal"/>
    <w:link w:val="DateChar"/>
    <w:uiPriority w:val="7"/>
    <w:qFormat/>
  </w:style>
  <w:style w:type="character" w:customStyle="1" w:styleId="DateChar">
    <w:name w:val="Date Char"/>
    <w:basedOn w:val="DefaultParagraphFont"/>
    <w:link w:val="Date"/>
    <w:uiPriority w:val="7"/>
    <w:rsid w:val="008717C7"/>
    <w:rPr>
      <w:kern w:val="20"/>
    </w:rPr>
  </w:style>
  <w:style w:type="paragraph" w:styleId="DocumentMap">
    <w:name w:val="Document Map"/>
    <w:basedOn w:val="Normal"/>
    <w:link w:val="DocumentMapChar"/>
    <w:uiPriority w:val="99"/>
    <w:semiHidden/>
    <w:unhideWhenUsed/>
    <w:pPr>
      <w:spacing w:after="0" w:line="240" w:lineRule="auto"/>
    </w:pPr>
    <w:rPr>
      <w:rFonts w:ascii="Tahoma" w:hAnsi="Tahoma" w:cs="Tahoma"/>
      <w:sz w:val="16"/>
    </w:rPr>
  </w:style>
  <w:style w:type="character" w:customStyle="1" w:styleId="DocumentMapChar">
    <w:name w:val="Document Map Char"/>
    <w:basedOn w:val="DefaultParagraphFont"/>
    <w:link w:val="DocumentMap"/>
    <w:uiPriority w:val="99"/>
    <w:semiHidden/>
    <w:rPr>
      <w:rFonts w:ascii="Tahoma" w:hAnsi="Tahoma" w:cs="Tahoma"/>
      <w:sz w:val="16"/>
    </w:rPr>
  </w:style>
  <w:style w:type="paragraph" w:styleId="E-mailSignature">
    <w:name w:val="E-mail Signature"/>
    <w:basedOn w:val="Normal"/>
    <w:link w:val="E-mailSignatureChar"/>
    <w:uiPriority w:val="99"/>
    <w:semiHidden/>
    <w:unhideWhenUsed/>
    <w:pPr>
      <w:spacing w:after="0" w:line="240" w:lineRule="auto"/>
    </w:pPr>
  </w:style>
  <w:style w:type="character" w:customStyle="1" w:styleId="E-mailSignatureChar">
    <w:name w:val="E-mail Signature Char"/>
    <w:basedOn w:val="DefaultParagraphFont"/>
    <w:link w:val="E-mailSignature"/>
    <w:uiPriority w:val="99"/>
    <w:semiHidden/>
  </w:style>
  <w:style w:type="character" w:styleId="Emphasis">
    <w:name w:val="Emphasis"/>
    <w:basedOn w:val="DefaultParagraphFont"/>
    <w:uiPriority w:val="20"/>
    <w:unhideWhenUsed/>
    <w:qFormat/>
    <w:rPr>
      <w:i/>
      <w:iCs/>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style>
  <w:style w:type="character" w:customStyle="1" w:styleId="EndnoteTextChar">
    <w:name w:val="Endnote Text Char"/>
    <w:basedOn w:val="DefaultParagraphFont"/>
    <w:link w:val="EndnoteText"/>
    <w:uiPriority w:val="99"/>
    <w:semiHidden/>
    <w:rPr>
      <w:sz w:val="20"/>
    </w:rPr>
  </w:style>
  <w:style w:type="paragraph" w:styleId="EnvelopeAddress">
    <w:name w:val="envelope address"/>
    <w:basedOn w:val="Normal"/>
    <w:uiPriority w:val="99"/>
    <w:semiHidden/>
    <w:unhideWhenUsed/>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EnvelopeReturn">
    <w:name w:val="envelope return"/>
    <w:basedOn w:val="Normal"/>
    <w:uiPriority w:val="99"/>
    <w:semiHidden/>
    <w:unhideWhenUsed/>
    <w:pPr>
      <w:spacing w:after="0" w:line="240" w:lineRule="auto"/>
    </w:pPr>
    <w:rPr>
      <w:rFonts w:asciiTheme="majorHAnsi" w:eastAsiaTheme="majorEastAsia" w:hAnsiTheme="majorHAnsi" w:cstheme="majorBidi"/>
    </w:rPr>
  </w:style>
  <w:style w:type="character" w:styleId="FollowedHyperlink">
    <w:name w:val="FollowedHyperlink"/>
    <w:basedOn w:val="DefaultParagraphFont"/>
    <w:uiPriority w:val="99"/>
    <w:semiHidden/>
    <w:unhideWhenUsed/>
    <w:rPr>
      <w:color w:val="969696" w:themeColor="followedHyperlink"/>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style>
  <w:style w:type="character" w:customStyle="1" w:styleId="FootnoteTextChar">
    <w:name w:val="Footnote Text Char"/>
    <w:basedOn w:val="DefaultParagraphFont"/>
    <w:link w:val="FootnoteText"/>
    <w:uiPriority w:val="99"/>
    <w:semiHidden/>
    <w:rPr>
      <w:sz w:val="20"/>
    </w:rPr>
  </w:style>
  <w:style w:type="character" w:customStyle="1" w:styleId="Heading5Char">
    <w:name w:val="Heading 5 Char"/>
    <w:basedOn w:val="DefaultParagraphFont"/>
    <w:link w:val="Heading5"/>
    <w:uiPriority w:val="5"/>
    <w:rsid w:val="008717C7"/>
    <w:rPr>
      <w:rFonts w:asciiTheme="majorHAnsi" w:eastAsiaTheme="majorEastAsia" w:hAnsiTheme="majorHAnsi" w:cstheme="majorBidi"/>
      <w:color w:val="394B5A" w:themeColor="accent1" w:themeShade="7F"/>
      <w:kern w:val="20"/>
    </w:rPr>
  </w:style>
  <w:style w:type="character" w:customStyle="1" w:styleId="Heading6Char">
    <w:name w:val="Heading 6 Char"/>
    <w:basedOn w:val="DefaultParagraphFont"/>
    <w:link w:val="Heading6"/>
    <w:uiPriority w:val="5"/>
    <w:rsid w:val="008717C7"/>
    <w:rPr>
      <w:rFonts w:asciiTheme="majorHAnsi" w:eastAsiaTheme="majorEastAsia" w:hAnsiTheme="majorHAnsi" w:cstheme="majorBidi"/>
      <w:i/>
      <w:iCs/>
      <w:color w:val="394B5A" w:themeColor="accent1" w:themeShade="7F"/>
      <w:kern w:val="20"/>
    </w:rPr>
  </w:style>
  <w:style w:type="character" w:customStyle="1" w:styleId="Heading7Char">
    <w:name w:val="Heading 7 Char"/>
    <w:basedOn w:val="DefaultParagraphFont"/>
    <w:link w:val="Heading7"/>
    <w:uiPriority w:val="5"/>
    <w:semiHidden/>
    <w:rsid w:val="008717C7"/>
    <w:rPr>
      <w:rFonts w:asciiTheme="majorHAnsi" w:eastAsiaTheme="majorEastAsia" w:hAnsiTheme="majorHAnsi" w:cstheme="majorBidi"/>
      <w:i/>
      <w:iCs/>
      <w:color w:val="404040" w:themeColor="text1" w:themeTint="BF"/>
      <w:kern w:val="20"/>
    </w:rPr>
  </w:style>
  <w:style w:type="character" w:customStyle="1" w:styleId="Heading8Char">
    <w:name w:val="Heading 8 Char"/>
    <w:basedOn w:val="DefaultParagraphFont"/>
    <w:link w:val="Heading8"/>
    <w:uiPriority w:val="5"/>
    <w:semiHidden/>
    <w:rsid w:val="008717C7"/>
    <w:rPr>
      <w:rFonts w:asciiTheme="majorHAnsi" w:eastAsiaTheme="majorEastAsia" w:hAnsiTheme="majorHAnsi" w:cstheme="majorBidi"/>
      <w:color w:val="404040" w:themeColor="text1" w:themeTint="BF"/>
      <w:kern w:val="20"/>
    </w:rPr>
  </w:style>
  <w:style w:type="character" w:customStyle="1" w:styleId="Heading9Char">
    <w:name w:val="Heading 9 Char"/>
    <w:basedOn w:val="DefaultParagraphFont"/>
    <w:link w:val="Heading9"/>
    <w:uiPriority w:val="5"/>
    <w:semiHidden/>
    <w:rsid w:val="008717C7"/>
    <w:rPr>
      <w:rFonts w:asciiTheme="majorHAnsi" w:eastAsiaTheme="majorEastAsia" w:hAnsiTheme="majorHAnsi" w:cstheme="majorBidi"/>
      <w:i/>
      <w:iCs/>
      <w:color w:val="404040" w:themeColor="text1" w:themeTint="BF"/>
      <w:kern w:val="20"/>
    </w:rPr>
  </w:style>
  <w:style w:type="character" w:styleId="HTMLAcronym">
    <w:name w:val="HTML Acronym"/>
    <w:basedOn w:val="DefaultParagraphFont"/>
    <w:uiPriority w:val="99"/>
    <w:semiHidden/>
    <w:unhideWhenUsed/>
  </w:style>
  <w:style w:type="paragraph" w:styleId="HTMLAddress">
    <w:name w:val="HTML Address"/>
    <w:basedOn w:val="Normal"/>
    <w:link w:val="HTMLAddressChar"/>
    <w:uiPriority w:val="99"/>
    <w:semiHidden/>
    <w:unhideWhenUsed/>
    <w:pPr>
      <w:spacing w:after="0" w:line="240" w:lineRule="auto"/>
    </w:pPr>
    <w:rPr>
      <w:i/>
      <w:iCs/>
    </w:rPr>
  </w:style>
  <w:style w:type="character" w:customStyle="1" w:styleId="HTMLAddressChar">
    <w:name w:val="HTML Address Char"/>
    <w:basedOn w:val="DefaultParagraphFont"/>
    <w:link w:val="HTMLAddress"/>
    <w:uiPriority w:val="99"/>
    <w:semiHidden/>
    <w:rPr>
      <w:i/>
      <w:iCs/>
    </w:rPr>
  </w:style>
  <w:style w:type="character" w:styleId="HTMLCite">
    <w:name w:val="HTML Cite"/>
    <w:basedOn w:val="DefaultParagraphFont"/>
    <w:uiPriority w:val="99"/>
    <w:semiHidden/>
    <w:unhideWhenUsed/>
    <w:rPr>
      <w:i/>
      <w:iCs/>
    </w:rPr>
  </w:style>
  <w:style w:type="character" w:styleId="HTMLCode">
    <w:name w:val="HTML Code"/>
    <w:basedOn w:val="DefaultParagraphFont"/>
    <w:uiPriority w:val="99"/>
    <w:semiHidden/>
    <w:unhideWhenUsed/>
    <w:rPr>
      <w:rFonts w:ascii="Consolas" w:hAnsi="Consolas" w:cs="Consolas"/>
      <w:sz w:val="20"/>
    </w:rPr>
  </w:style>
  <w:style w:type="character" w:styleId="HTMLDefinition">
    <w:name w:val="HTML Definition"/>
    <w:basedOn w:val="DefaultParagraphFont"/>
    <w:uiPriority w:val="99"/>
    <w:semiHidden/>
    <w:unhideWhenUsed/>
    <w:rPr>
      <w:i/>
      <w:iCs/>
    </w:rPr>
  </w:style>
  <w:style w:type="character" w:styleId="HTMLKeyboard">
    <w:name w:val="HTML Keyboard"/>
    <w:basedOn w:val="DefaultParagraphFont"/>
    <w:uiPriority w:val="99"/>
    <w:semiHidden/>
    <w:unhideWhenUsed/>
    <w:rPr>
      <w:rFonts w:ascii="Consolas" w:hAnsi="Consolas" w:cs="Consolas"/>
      <w:sz w:val="20"/>
    </w:rPr>
  </w:style>
  <w:style w:type="paragraph" w:styleId="HTMLPreformatted">
    <w:name w:val="HTML Preformatted"/>
    <w:basedOn w:val="Normal"/>
    <w:link w:val="HTMLPreformattedChar"/>
    <w:uiPriority w:val="99"/>
    <w:semiHidden/>
    <w:unhideWhenUsed/>
    <w:pPr>
      <w:spacing w:after="0" w:line="240" w:lineRule="auto"/>
    </w:pPr>
    <w:rPr>
      <w:rFonts w:ascii="Consolas" w:hAnsi="Consolas" w:cs="Consolas"/>
    </w:rPr>
  </w:style>
  <w:style w:type="character" w:customStyle="1" w:styleId="HTMLPreformattedChar">
    <w:name w:val="HTML Preformatted Char"/>
    <w:basedOn w:val="DefaultParagraphFont"/>
    <w:link w:val="HTMLPreformatted"/>
    <w:uiPriority w:val="99"/>
    <w:semiHidden/>
    <w:rPr>
      <w:rFonts w:ascii="Consolas" w:hAnsi="Consolas" w:cs="Consolas"/>
      <w:sz w:val="20"/>
    </w:rPr>
  </w:style>
  <w:style w:type="character" w:styleId="HTMLSample">
    <w:name w:val="HTML Sample"/>
    <w:basedOn w:val="DefaultParagraphFont"/>
    <w:uiPriority w:val="99"/>
    <w:semiHidden/>
    <w:unhideWhenUsed/>
    <w:rPr>
      <w:rFonts w:ascii="Consolas" w:hAnsi="Consolas" w:cs="Consolas"/>
      <w:sz w:val="24"/>
    </w:rPr>
  </w:style>
  <w:style w:type="character" w:styleId="HTMLTypewriter">
    <w:name w:val="HTML Typewriter"/>
    <w:basedOn w:val="DefaultParagraphFont"/>
    <w:uiPriority w:val="99"/>
    <w:semiHidden/>
    <w:unhideWhenUsed/>
    <w:rPr>
      <w:rFonts w:ascii="Consolas" w:hAnsi="Consolas" w:cs="Consolas"/>
      <w:sz w:val="20"/>
    </w:rPr>
  </w:style>
  <w:style w:type="character" w:styleId="HTMLVariable">
    <w:name w:val="HTML Variable"/>
    <w:basedOn w:val="DefaultParagraphFont"/>
    <w:uiPriority w:val="99"/>
    <w:semiHidden/>
    <w:unhideWhenUsed/>
    <w:rPr>
      <w:i/>
      <w:iCs/>
    </w:rPr>
  </w:style>
  <w:style w:type="character" w:styleId="Hyperlink">
    <w:name w:val="Hyperlink"/>
    <w:basedOn w:val="DefaultParagraphFont"/>
    <w:uiPriority w:val="99"/>
    <w:rPr>
      <w:color w:val="646464" w:themeColor="hyperlink"/>
      <w:u w:val="single"/>
    </w:rPr>
  </w:style>
  <w:style w:type="paragraph" w:styleId="Index1">
    <w:name w:val="index 1"/>
    <w:basedOn w:val="Normal"/>
    <w:next w:val="Normal"/>
    <w:autoRedefine/>
    <w:uiPriority w:val="99"/>
    <w:semiHidden/>
    <w:unhideWhenUsed/>
    <w:pPr>
      <w:spacing w:after="0" w:line="240" w:lineRule="auto"/>
      <w:ind w:left="220" w:hanging="220"/>
    </w:pPr>
  </w:style>
  <w:style w:type="paragraph" w:styleId="Index2">
    <w:name w:val="index 2"/>
    <w:basedOn w:val="Normal"/>
    <w:next w:val="Normal"/>
    <w:autoRedefine/>
    <w:uiPriority w:val="99"/>
    <w:semiHidden/>
    <w:unhideWhenUsed/>
    <w:pPr>
      <w:spacing w:after="0" w:line="240" w:lineRule="auto"/>
      <w:ind w:left="440" w:hanging="220"/>
    </w:pPr>
  </w:style>
  <w:style w:type="paragraph" w:styleId="Index3">
    <w:name w:val="index 3"/>
    <w:basedOn w:val="Normal"/>
    <w:next w:val="Normal"/>
    <w:autoRedefine/>
    <w:uiPriority w:val="99"/>
    <w:semiHidden/>
    <w:unhideWhenUsed/>
    <w:pPr>
      <w:spacing w:after="0" w:line="240" w:lineRule="auto"/>
      <w:ind w:left="660" w:hanging="220"/>
    </w:pPr>
  </w:style>
  <w:style w:type="paragraph" w:styleId="Index4">
    <w:name w:val="index 4"/>
    <w:basedOn w:val="Normal"/>
    <w:next w:val="Normal"/>
    <w:autoRedefine/>
    <w:uiPriority w:val="99"/>
    <w:semiHidden/>
    <w:unhideWhenUsed/>
    <w:pPr>
      <w:spacing w:after="0" w:line="240" w:lineRule="auto"/>
      <w:ind w:left="880" w:hanging="220"/>
    </w:pPr>
  </w:style>
  <w:style w:type="paragraph" w:styleId="Index5">
    <w:name w:val="index 5"/>
    <w:basedOn w:val="Normal"/>
    <w:next w:val="Normal"/>
    <w:autoRedefine/>
    <w:uiPriority w:val="99"/>
    <w:semiHidden/>
    <w:unhideWhenUsed/>
    <w:pPr>
      <w:spacing w:after="0" w:line="240" w:lineRule="auto"/>
      <w:ind w:left="1100" w:hanging="220"/>
    </w:pPr>
  </w:style>
  <w:style w:type="paragraph" w:styleId="Index6">
    <w:name w:val="index 6"/>
    <w:basedOn w:val="Normal"/>
    <w:next w:val="Normal"/>
    <w:autoRedefine/>
    <w:uiPriority w:val="99"/>
    <w:semiHidden/>
    <w:unhideWhenUsed/>
    <w:pPr>
      <w:spacing w:after="0" w:line="240" w:lineRule="auto"/>
      <w:ind w:left="1320" w:hanging="220"/>
    </w:pPr>
  </w:style>
  <w:style w:type="paragraph" w:styleId="Index7">
    <w:name w:val="index 7"/>
    <w:basedOn w:val="Normal"/>
    <w:next w:val="Normal"/>
    <w:autoRedefine/>
    <w:uiPriority w:val="99"/>
    <w:semiHidden/>
    <w:unhideWhenUsed/>
    <w:pPr>
      <w:spacing w:after="0" w:line="240" w:lineRule="auto"/>
      <w:ind w:left="1540" w:hanging="220"/>
    </w:pPr>
  </w:style>
  <w:style w:type="paragraph" w:styleId="Index8">
    <w:name w:val="index 8"/>
    <w:basedOn w:val="Normal"/>
    <w:next w:val="Normal"/>
    <w:autoRedefine/>
    <w:uiPriority w:val="99"/>
    <w:semiHidden/>
    <w:unhideWhenUsed/>
    <w:pPr>
      <w:spacing w:after="0" w:line="240" w:lineRule="auto"/>
      <w:ind w:left="1760" w:hanging="220"/>
    </w:pPr>
  </w:style>
  <w:style w:type="paragraph" w:styleId="Index9">
    <w:name w:val="index 9"/>
    <w:basedOn w:val="Normal"/>
    <w:next w:val="Normal"/>
    <w:autoRedefine/>
    <w:uiPriority w:val="99"/>
    <w:semiHidden/>
    <w:unhideWhenUsed/>
    <w:pPr>
      <w:spacing w:after="0" w:line="240" w:lineRule="auto"/>
      <w:ind w:left="1980" w:hanging="220"/>
    </w:pPr>
  </w:style>
  <w:style w:type="paragraph" w:styleId="IndexHeading">
    <w:name w:val="index heading"/>
    <w:basedOn w:val="Normal"/>
    <w:next w:val="Index1"/>
    <w:uiPriority w:val="99"/>
    <w:semiHidden/>
    <w:unhideWhenUsed/>
    <w:rPr>
      <w:rFonts w:asciiTheme="majorHAnsi" w:eastAsiaTheme="majorEastAsia" w:hAnsiTheme="majorHAnsi" w:cstheme="majorBidi"/>
      <w:b/>
      <w:bCs/>
    </w:rPr>
  </w:style>
  <w:style w:type="character" w:styleId="IntenseEmphasis">
    <w:name w:val="Intense Emphasis"/>
    <w:basedOn w:val="DefaultParagraphFont"/>
    <w:uiPriority w:val="21"/>
    <w:semiHidden/>
    <w:unhideWhenUsed/>
    <w:rPr>
      <w:b/>
      <w:bCs/>
      <w:i/>
      <w:iCs/>
      <w:color w:val="7E97AD" w:themeColor="accent1"/>
    </w:rPr>
  </w:style>
  <w:style w:type="paragraph" w:styleId="IntenseQuote">
    <w:name w:val="Intense Quote"/>
    <w:basedOn w:val="Normal"/>
    <w:next w:val="Normal"/>
    <w:link w:val="IntenseQuoteChar"/>
    <w:uiPriority w:val="30"/>
    <w:semiHidden/>
    <w:unhideWhenUsed/>
    <w:rsid w:val="006924B0"/>
    <w:pPr>
      <w:pBdr>
        <w:bottom w:val="single" w:sz="4" w:space="4" w:color="7E97AD" w:themeColor="accent1"/>
      </w:pBdr>
      <w:spacing w:before="200" w:after="280"/>
    </w:pPr>
    <w:rPr>
      <w:b/>
      <w:bCs/>
      <w:i/>
      <w:iCs/>
      <w:color w:val="7E97AD" w:themeColor="accent1"/>
    </w:rPr>
  </w:style>
  <w:style w:type="character" w:customStyle="1" w:styleId="IntenseQuoteChar">
    <w:name w:val="Intense Quote Char"/>
    <w:basedOn w:val="DefaultParagraphFont"/>
    <w:link w:val="IntenseQuote"/>
    <w:uiPriority w:val="30"/>
    <w:semiHidden/>
    <w:rsid w:val="006924B0"/>
    <w:rPr>
      <w:b/>
      <w:bCs/>
      <w:i/>
      <w:iCs/>
      <w:color w:val="7E97AD" w:themeColor="accent1"/>
      <w:kern w:val="20"/>
    </w:rPr>
  </w:style>
  <w:style w:type="character" w:styleId="IntenseReference">
    <w:name w:val="Intense Reference"/>
    <w:basedOn w:val="DefaultParagraphFont"/>
    <w:uiPriority w:val="32"/>
    <w:semiHidden/>
    <w:unhideWhenUsed/>
    <w:rsid w:val="006924B0"/>
    <w:rPr>
      <w:b/>
      <w:bCs/>
      <w:caps w:val="0"/>
      <w:smallCaps/>
      <w:color w:val="CC8E60" w:themeColor="accent2"/>
      <w:spacing w:val="0"/>
      <w:u w:val="single"/>
    </w:rPr>
  </w:style>
  <w:style w:type="table" w:styleId="LightGrid">
    <w:name w:val="Light Grid"/>
    <w:basedOn w:val="TableNormal"/>
    <w:uiPriority w:val="6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pPr>
      <w:spacing w:after="0" w:line="240" w:lineRule="auto"/>
    </w:pPr>
    <w:tblPr>
      <w:tblStyleRowBandSize w:val="1"/>
      <w:tblStyleColBandSize w:val="1"/>
      <w:tblBorders>
        <w:top w:val="single" w:sz="8" w:space="0" w:color="7E97AD" w:themeColor="accent1"/>
        <w:left w:val="single" w:sz="8" w:space="0" w:color="7E97AD" w:themeColor="accent1"/>
        <w:bottom w:val="single" w:sz="8" w:space="0" w:color="7E97AD" w:themeColor="accent1"/>
        <w:right w:val="single" w:sz="8" w:space="0" w:color="7E97AD" w:themeColor="accent1"/>
        <w:insideH w:val="single" w:sz="8" w:space="0" w:color="7E97AD" w:themeColor="accent1"/>
        <w:insideV w:val="single" w:sz="8" w:space="0" w:color="7E97A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E97AD" w:themeColor="accent1"/>
          <w:left w:val="single" w:sz="8" w:space="0" w:color="7E97AD" w:themeColor="accent1"/>
          <w:bottom w:val="single" w:sz="18" w:space="0" w:color="7E97AD" w:themeColor="accent1"/>
          <w:right w:val="single" w:sz="8" w:space="0" w:color="7E97AD" w:themeColor="accent1"/>
          <w:insideH w:val="nil"/>
          <w:insideV w:val="single" w:sz="8" w:space="0" w:color="7E97A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E97AD" w:themeColor="accent1"/>
          <w:left w:val="single" w:sz="8" w:space="0" w:color="7E97AD" w:themeColor="accent1"/>
          <w:bottom w:val="single" w:sz="8" w:space="0" w:color="7E97AD" w:themeColor="accent1"/>
          <w:right w:val="single" w:sz="8" w:space="0" w:color="7E97AD" w:themeColor="accent1"/>
          <w:insideH w:val="nil"/>
          <w:insideV w:val="single" w:sz="8" w:space="0" w:color="7E97A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E97AD" w:themeColor="accent1"/>
          <w:left w:val="single" w:sz="8" w:space="0" w:color="7E97AD" w:themeColor="accent1"/>
          <w:bottom w:val="single" w:sz="8" w:space="0" w:color="7E97AD" w:themeColor="accent1"/>
          <w:right w:val="single" w:sz="8" w:space="0" w:color="7E97AD" w:themeColor="accent1"/>
        </w:tcBorders>
      </w:tcPr>
    </w:tblStylePr>
    <w:tblStylePr w:type="band1Vert">
      <w:tblPr/>
      <w:tcPr>
        <w:tcBorders>
          <w:top w:val="single" w:sz="8" w:space="0" w:color="7E97AD" w:themeColor="accent1"/>
          <w:left w:val="single" w:sz="8" w:space="0" w:color="7E97AD" w:themeColor="accent1"/>
          <w:bottom w:val="single" w:sz="8" w:space="0" w:color="7E97AD" w:themeColor="accent1"/>
          <w:right w:val="single" w:sz="8" w:space="0" w:color="7E97AD" w:themeColor="accent1"/>
        </w:tcBorders>
        <w:shd w:val="clear" w:color="auto" w:fill="DFE5EA" w:themeFill="accent1" w:themeFillTint="3F"/>
      </w:tcPr>
    </w:tblStylePr>
    <w:tblStylePr w:type="band1Horz">
      <w:tblPr/>
      <w:tcPr>
        <w:tcBorders>
          <w:top w:val="single" w:sz="8" w:space="0" w:color="7E97AD" w:themeColor="accent1"/>
          <w:left w:val="single" w:sz="8" w:space="0" w:color="7E97AD" w:themeColor="accent1"/>
          <w:bottom w:val="single" w:sz="8" w:space="0" w:color="7E97AD" w:themeColor="accent1"/>
          <w:right w:val="single" w:sz="8" w:space="0" w:color="7E97AD" w:themeColor="accent1"/>
          <w:insideV w:val="single" w:sz="8" w:space="0" w:color="7E97AD" w:themeColor="accent1"/>
        </w:tcBorders>
        <w:shd w:val="clear" w:color="auto" w:fill="DFE5EA" w:themeFill="accent1" w:themeFillTint="3F"/>
      </w:tcPr>
    </w:tblStylePr>
    <w:tblStylePr w:type="band2Horz">
      <w:tblPr/>
      <w:tcPr>
        <w:tcBorders>
          <w:top w:val="single" w:sz="8" w:space="0" w:color="7E97AD" w:themeColor="accent1"/>
          <w:left w:val="single" w:sz="8" w:space="0" w:color="7E97AD" w:themeColor="accent1"/>
          <w:bottom w:val="single" w:sz="8" w:space="0" w:color="7E97AD" w:themeColor="accent1"/>
          <w:right w:val="single" w:sz="8" w:space="0" w:color="7E97AD" w:themeColor="accent1"/>
          <w:insideV w:val="single" w:sz="8" w:space="0" w:color="7E97AD" w:themeColor="accent1"/>
        </w:tcBorders>
      </w:tcPr>
    </w:tblStylePr>
  </w:style>
  <w:style w:type="table" w:styleId="LightGrid-Accent2">
    <w:name w:val="Light Grid Accent 2"/>
    <w:basedOn w:val="TableNormal"/>
    <w:uiPriority w:val="62"/>
    <w:pPr>
      <w:spacing w:after="0" w:line="240" w:lineRule="auto"/>
    </w:pPr>
    <w:tblPr>
      <w:tblStyleRowBandSize w:val="1"/>
      <w:tblStyleColBandSize w:val="1"/>
      <w:tblBorders>
        <w:top w:val="single" w:sz="8" w:space="0" w:color="CC8E60" w:themeColor="accent2"/>
        <w:left w:val="single" w:sz="8" w:space="0" w:color="CC8E60" w:themeColor="accent2"/>
        <w:bottom w:val="single" w:sz="8" w:space="0" w:color="CC8E60" w:themeColor="accent2"/>
        <w:right w:val="single" w:sz="8" w:space="0" w:color="CC8E60" w:themeColor="accent2"/>
        <w:insideH w:val="single" w:sz="8" w:space="0" w:color="CC8E60" w:themeColor="accent2"/>
        <w:insideV w:val="single" w:sz="8" w:space="0" w:color="CC8E6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C8E60" w:themeColor="accent2"/>
          <w:left w:val="single" w:sz="8" w:space="0" w:color="CC8E60" w:themeColor="accent2"/>
          <w:bottom w:val="single" w:sz="18" w:space="0" w:color="CC8E60" w:themeColor="accent2"/>
          <w:right w:val="single" w:sz="8" w:space="0" w:color="CC8E60" w:themeColor="accent2"/>
          <w:insideH w:val="nil"/>
          <w:insideV w:val="single" w:sz="8" w:space="0" w:color="CC8E6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C8E60" w:themeColor="accent2"/>
          <w:left w:val="single" w:sz="8" w:space="0" w:color="CC8E60" w:themeColor="accent2"/>
          <w:bottom w:val="single" w:sz="8" w:space="0" w:color="CC8E60" w:themeColor="accent2"/>
          <w:right w:val="single" w:sz="8" w:space="0" w:color="CC8E60" w:themeColor="accent2"/>
          <w:insideH w:val="nil"/>
          <w:insideV w:val="single" w:sz="8" w:space="0" w:color="CC8E6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C8E60" w:themeColor="accent2"/>
          <w:left w:val="single" w:sz="8" w:space="0" w:color="CC8E60" w:themeColor="accent2"/>
          <w:bottom w:val="single" w:sz="8" w:space="0" w:color="CC8E60" w:themeColor="accent2"/>
          <w:right w:val="single" w:sz="8" w:space="0" w:color="CC8E60" w:themeColor="accent2"/>
        </w:tcBorders>
      </w:tcPr>
    </w:tblStylePr>
    <w:tblStylePr w:type="band1Vert">
      <w:tblPr/>
      <w:tcPr>
        <w:tcBorders>
          <w:top w:val="single" w:sz="8" w:space="0" w:color="CC8E60" w:themeColor="accent2"/>
          <w:left w:val="single" w:sz="8" w:space="0" w:color="CC8E60" w:themeColor="accent2"/>
          <w:bottom w:val="single" w:sz="8" w:space="0" w:color="CC8E60" w:themeColor="accent2"/>
          <w:right w:val="single" w:sz="8" w:space="0" w:color="CC8E60" w:themeColor="accent2"/>
        </w:tcBorders>
        <w:shd w:val="clear" w:color="auto" w:fill="F2E2D7" w:themeFill="accent2" w:themeFillTint="3F"/>
      </w:tcPr>
    </w:tblStylePr>
    <w:tblStylePr w:type="band1Horz">
      <w:tblPr/>
      <w:tcPr>
        <w:tcBorders>
          <w:top w:val="single" w:sz="8" w:space="0" w:color="CC8E60" w:themeColor="accent2"/>
          <w:left w:val="single" w:sz="8" w:space="0" w:color="CC8E60" w:themeColor="accent2"/>
          <w:bottom w:val="single" w:sz="8" w:space="0" w:color="CC8E60" w:themeColor="accent2"/>
          <w:right w:val="single" w:sz="8" w:space="0" w:color="CC8E60" w:themeColor="accent2"/>
          <w:insideV w:val="single" w:sz="8" w:space="0" w:color="CC8E60" w:themeColor="accent2"/>
        </w:tcBorders>
        <w:shd w:val="clear" w:color="auto" w:fill="F2E2D7" w:themeFill="accent2" w:themeFillTint="3F"/>
      </w:tcPr>
    </w:tblStylePr>
    <w:tblStylePr w:type="band2Horz">
      <w:tblPr/>
      <w:tcPr>
        <w:tcBorders>
          <w:top w:val="single" w:sz="8" w:space="0" w:color="CC8E60" w:themeColor="accent2"/>
          <w:left w:val="single" w:sz="8" w:space="0" w:color="CC8E60" w:themeColor="accent2"/>
          <w:bottom w:val="single" w:sz="8" w:space="0" w:color="CC8E60" w:themeColor="accent2"/>
          <w:right w:val="single" w:sz="8" w:space="0" w:color="CC8E60" w:themeColor="accent2"/>
          <w:insideV w:val="single" w:sz="8" w:space="0" w:color="CC8E60" w:themeColor="accent2"/>
        </w:tcBorders>
      </w:tcPr>
    </w:tblStylePr>
  </w:style>
  <w:style w:type="table" w:styleId="LightGrid-Accent3">
    <w:name w:val="Light Grid Accent 3"/>
    <w:basedOn w:val="TableNormal"/>
    <w:uiPriority w:val="62"/>
    <w:pPr>
      <w:spacing w:after="0" w:line="240" w:lineRule="auto"/>
    </w:pPr>
    <w:tblPr>
      <w:tblStyleRowBandSize w:val="1"/>
      <w:tblStyleColBandSize w:val="1"/>
      <w:tblBorders>
        <w:top w:val="single" w:sz="8" w:space="0" w:color="7A6A60" w:themeColor="accent3"/>
        <w:left w:val="single" w:sz="8" w:space="0" w:color="7A6A60" w:themeColor="accent3"/>
        <w:bottom w:val="single" w:sz="8" w:space="0" w:color="7A6A60" w:themeColor="accent3"/>
        <w:right w:val="single" w:sz="8" w:space="0" w:color="7A6A60" w:themeColor="accent3"/>
        <w:insideH w:val="single" w:sz="8" w:space="0" w:color="7A6A60" w:themeColor="accent3"/>
        <w:insideV w:val="single" w:sz="8" w:space="0" w:color="7A6A6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6A60" w:themeColor="accent3"/>
          <w:left w:val="single" w:sz="8" w:space="0" w:color="7A6A60" w:themeColor="accent3"/>
          <w:bottom w:val="single" w:sz="18" w:space="0" w:color="7A6A60" w:themeColor="accent3"/>
          <w:right w:val="single" w:sz="8" w:space="0" w:color="7A6A60" w:themeColor="accent3"/>
          <w:insideH w:val="nil"/>
          <w:insideV w:val="single" w:sz="8" w:space="0" w:color="7A6A6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6A60" w:themeColor="accent3"/>
          <w:left w:val="single" w:sz="8" w:space="0" w:color="7A6A60" w:themeColor="accent3"/>
          <w:bottom w:val="single" w:sz="8" w:space="0" w:color="7A6A60" w:themeColor="accent3"/>
          <w:right w:val="single" w:sz="8" w:space="0" w:color="7A6A60" w:themeColor="accent3"/>
          <w:insideH w:val="nil"/>
          <w:insideV w:val="single" w:sz="8" w:space="0" w:color="7A6A6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6A60" w:themeColor="accent3"/>
          <w:left w:val="single" w:sz="8" w:space="0" w:color="7A6A60" w:themeColor="accent3"/>
          <w:bottom w:val="single" w:sz="8" w:space="0" w:color="7A6A60" w:themeColor="accent3"/>
          <w:right w:val="single" w:sz="8" w:space="0" w:color="7A6A60" w:themeColor="accent3"/>
        </w:tcBorders>
      </w:tcPr>
    </w:tblStylePr>
    <w:tblStylePr w:type="band1Vert">
      <w:tblPr/>
      <w:tcPr>
        <w:tcBorders>
          <w:top w:val="single" w:sz="8" w:space="0" w:color="7A6A60" w:themeColor="accent3"/>
          <w:left w:val="single" w:sz="8" w:space="0" w:color="7A6A60" w:themeColor="accent3"/>
          <w:bottom w:val="single" w:sz="8" w:space="0" w:color="7A6A60" w:themeColor="accent3"/>
          <w:right w:val="single" w:sz="8" w:space="0" w:color="7A6A60" w:themeColor="accent3"/>
        </w:tcBorders>
        <w:shd w:val="clear" w:color="auto" w:fill="DFD9D6" w:themeFill="accent3" w:themeFillTint="3F"/>
      </w:tcPr>
    </w:tblStylePr>
    <w:tblStylePr w:type="band1Horz">
      <w:tblPr/>
      <w:tcPr>
        <w:tcBorders>
          <w:top w:val="single" w:sz="8" w:space="0" w:color="7A6A60" w:themeColor="accent3"/>
          <w:left w:val="single" w:sz="8" w:space="0" w:color="7A6A60" w:themeColor="accent3"/>
          <w:bottom w:val="single" w:sz="8" w:space="0" w:color="7A6A60" w:themeColor="accent3"/>
          <w:right w:val="single" w:sz="8" w:space="0" w:color="7A6A60" w:themeColor="accent3"/>
          <w:insideV w:val="single" w:sz="8" w:space="0" w:color="7A6A60" w:themeColor="accent3"/>
        </w:tcBorders>
        <w:shd w:val="clear" w:color="auto" w:fill="DFD9D6" w:themeFill="accent3" w:themeFillTint="3F"/>
      </w:tcPr>
    </w:tblStylePr>
    <w:tblStylePr w:type="band2Horz">
      <w:tblPr/>
      <w:tcPr>
        <w:tcBorders>
          <w:top w:val="single" w:sz="8" w:space="0" w:color="7A6A60" w:themeColor="accent3"/>
          <w:left w:val="single" w:sz="8" w:space="0" w:color="7A6A60" w:themeColor="accent3"/>
          <w:bottom w:val="single" w:sz="8" w:space="0" w:color="7A6A60" w:themeColor="accent3"/>
          <w:right w:val="single" w:sz="8" w:space="0" w:color="7A6A60" w:themeColor="accent3"/>
          <w:insideV w:val="single" w:sz="8" w:space="0" w:color="7A6A60" w:themeColor="accent3"/>
        </w:tcBorders>
      </w:tcPr>
    </w:tblStylePr>
  </w:style>
  <w:style w:type="table" w:styleId="LightGrid-Accent4">
    <w:name w:val="Light Grid Accent 4"/>
    <w:basedOn w:val="TableNormal"/>
    <w:uiPriority w:val="62"/>
    <w:pPr>
      <w:spacing w:after="0" w:line="240" w:lineRule="auto"/>
    </w:pPr>
    <w:tblPr>
      <w:tblStyleRowBandSize w:val="1"/>
      <w:tblStyleColBandSize w:val="1"/>
      <w:tblBorders>
        <w:top w:val="single" w:sz="8" w:space="0" w:color="B4936D" w:themeColor="accent4"/>
        <w:left w:val="single" w:sz="8" w:space="0" w:color="B4936D" w:themeColor="accent4"/>
        <w:bottom w:val="single" w:sz="8" w:space="0" w:color="B4936D" w:themeColor="accent4"/>
        <w:right w:val="single" w:sz="8" w:space="0" w:color="B4936D" w:themeColor="accent4"/>
        <w:insideH w:val="single" w:sz="8" w:space="0" w:color="B4936D" w:themeColor="accent4"/>
        <w:insideV w:val="single" w:sz="8" w:space="0" w:color="B4936D"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4936D" w:themeColor="accent4"/>
          <w:left w:val="single" w:sz="8" w:space="0" w:color="B4936D" w:themeColor="accent4"/>
          <w:bottom w:val="single" w:sz="18" w:space="0" w:color="B4936D" w:themeColor="accent4"/>
          <w:right w:val="single" w:sz="8" w:space="0" w:color="B4936D" w:themeColor="accent4"/>
          <w:insideH w:val="nil"/>
          <w:insideV w:val="single" w:sz="8" w:space="0" w:color="B4936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4936D" w:themeColor="accent4"/>
          <w:left w:val="single" w:sz="8" w:space="0" w:color="B4936D" w:themeColor="accent4"/>
          <w:bottom w:val="single" w:sz="8" w:space="0" w:color="B4936D" w:themeColor="accent4"/>
          <w:right w:val="single" w:sz="8" w:space="0" w:color="B4936D" w:themeColor="accent4"/>
          <w:insideH w:val="nil"/>
          <w:insideV w:val="single" w:sz="8" w:space="0" w:color="B4936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4936D" w:themeColor="accent4"/>
          <w:left w:val="single" w:sz="8" w:space="0" w:color="B4936D" w:themeColor="accent4"/>
          <w:bottom w:val="single" w:sz="8" w:space="0" w:color="B4936D" w:themeColor="accent4"/>
          <w:right w:val="single" w:sz="8" w:space="0" w:color="B4936D" w:themeColor="accent4"/>
        </w:tcBorders>
      </w:tcPr>
    </w:tblStylePr>
    <w:tblStylePr w:type="band1Vert">
      <w:tblPr/>
      <w:tcPr>
        <w:tcBorders>
          <w:top w:val="single" w:sz="8" w:space="0" w:color="B4936D" w:themeColor="accent4"/>
          <w:left w:val="single" w:sz="8" w:space="0" w:color="B4936D" w:themeColor="accent4"/>
          <w:bottom w:val="single" w:sz="8" w:space="0" w:color="B4936D" w:themeColor="accent4"/>
          <w:right w:val="single" w:sz="8" w:space="0" w:color="B4936D" w:themeColor="accent4"/>
        </w:tcBorders>
        <w:shd w:val="clear" w:color="auto" w:fill="ECE4DA" w:themeFill="accent4" w:themeFillTint="3F"/>
      </w:tcPr>
    </w:tblStylePr>
    <w:tblStylePr w:type="band1Horz">
      <w:tblPr/>
      <w:tcPr>
        <w:tcBorders>
          <w:top w:val="single" w:sz="8" w:space="0" w:color="B4936D" w:themeColor="accent4"/>
          <w:left w:val="single" w:sz="8" w:space="0" w:color="B4936D" w:themeColor="accent4"/>
          <w:bottom w:val="single" w:sz="8" w:space="0" w:color="B4936D" w:themeColor="accent4"/>
          <w:right w:val="single" w:sz="8" w:space="0" w:color="B4936D" w:themeColor="accent4"/>
          <w:insideV w:val="single" w:sz="8" w:space="0" w:color="B4936D" w:themeColor="accent4"/>
        </w:tcBorders>
        <w:shd w:val="clear" w:color="auto" w:fill="ECE4DA" w:themeFill="accent4" w:themeFillTint="3F"/>
      </w:tcPr>
    </w:tblStylePr>
    <w:tblStylePr w:type="band2Horz">
      <w:tblPr/>
      <w:tcPr>
        <w:tcBorders>
          <w:top w:val="single" w:sz="8" w:space="0" w:color="B4936D" w:themeColor="accent4"/>
          <w:left w:val="single" w:sz="8" w:space="0" w:color="B4936D" w:themeColor="accent4"/>
          <w:bottom w:val="single" w:sz="8" w:space="0" w:color="B4936D" w:themeColor="accent4"/>
          <w:right w:val="single" w:sz="8" w:space="0" w:color="B4936D" w:themeColor="accent4"/>
          <w:insideV w:val="single" w:sz="8" w:space="0" w:color="B4936D" w:themeColor="accent4"/>
        </w:tcBorders>
      </w:tcPr>
    </w:tblStylePr>
  </w:style>
  <w:style w:type="table" w:styleId="LightGrid-Accent5">
    <w:name w:val="Light Grid Accent 5"/>
    <w:basedOn w:val="TableNormal"/>
    <w:uiPriority w:val="62"/>
    <w:pPr>
      <w:spacing w:after="0" w:line="240" w:lineRule="auto"/>
    </w:pPr>
    <w:tblPr>
      <w:tblStyleRowBandSize w:val="1"/>
      <w:tblStyleColBandSize w:val="1"/>
      <w:tblBorders>
        <w:top w:val="single" w:sz="8" w:space="0" w:color="67787B" w:themeColor="accent5"/>
        <w:left w:val="single" w:sz="8" w:space="0" w:color="67787B" w:themeColor="accent5"/>
        <w:bottom w:val="single" w:sz="8" w:space="0" w:color="67787B" w:themeColor="accent5"/>
        <w:right w:val="single" w:sz="8" w:space="0" w:color="67787B" w:themeColor="accent5"/>
        <w:insideH w:val="single" w:sz="8" w:space="0" w:color="67787B" w:themeColor="accent5"/>
        <w:insideV w:val="single" w:sz="8" w:space="0" w:color="67787B"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7787B" w:themeColor="accent5"/>
          <w:left w:val="single" w:sz="8" w:space="0" w:color="67787B" w:themeColor="accent5"/>
          <w:bottom w:val="single" w:sz="18" w:space="0" w:color="67787B" w:themeColor="accent5"/>
          <w:right w:val="single" w:sz="8" w:space="0" w:color="67787B" w:themeColor="accent5"/>
          <w:insideH w:val="nil"/>
          <w:insideV w:val="single" w:sz="8" w:space="0" w:color="67787B"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7787B" w:themeColor="accent5"/>
          <w:left w:val="single" w:sz="8" w:space="0" w:color="67787B" w:themeColor="accent5"/>
          <w:bottom w:val="single" w:sz="8" w:space="0" w:color="67787B" w:themeColor="accent5"/>
          <w:right w:val="single" w:sz="8" w:space="0" w:color="67787B" w:themeColor="accent5"/>
          <w:insideH w:val="nil"/>
          <w:insideV w:val="single" w:sz="8" w:space="0" w:color="67787B"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7787B" w:themeColor="accent5"/>
          <w:left w:val="single" w:sz="8" w:space="0" w:color="67787B" w:themeColor="accent5"/>
          <w:bottom w:val="single" w:sz="8" w:space="0" w:color="67787B" w:themeColor="accent5"/>
          <w:right w:val="single" w:sz="8" w:space="0" w:color="67787B" w:themeColor="accent5"/>
        </w:tcBorders>
      </w:tcPr>
    </w:tblStylePr>
    <w:tblStylePr w:type="band1Vert">
      <w:tblPr/>
      <w:tcPr>
        <w:tcBorders>
          <w:top w:val="single" w:sz="8" w:space="0" w:color="67787B" w:themeColor="accent5"/>
          <w:left w:val="single" w:sz="8" w:space="0" w:color="67787B" w:themeColor="accent5"/>
          <w:bottom w:val="single" w:sz="8" w:space="0" w:color="67787B" w:themeColor="accent5"/>
          <w:right w:val="single" w:sz="8" w:space="0" w:color="67787B" w:themeColor="accent5"/>
        </w:tcBorders>
        <w:shd w:val="clear" w:color="auto" w:fill="D8DEDF" w:themeFill="accent5" w:themeFillTint="3F"/>
      </w:tcPr>
    </w:tblStylePr>
    <w:tblStylePr w:type="band1Horz">
      <w:tblPr/>
      <w:tcPr>
        <w:tcBorders>
          <w:top w:val="single" w:sz="8" w:space="0" w:color="67787B" w:themeColor="accent5"/>
          <w:left w:val="single" w:sz="8" w:space="0" w:color="67787B" w:themeColor="accent5"/>
          <w:bottom w:val="single" w:sz="8" w:space="0" w:color="67787B" w:themeColor="accent5"/>
          <w:right w:val="single" w:sz="8" w:space="0" w:color="67787B" w:themeColor="accent5"/>
          <w:insideV w:val="single" w:sz="8" w:space="0" w:color="67787B" w:themeColor="accent5"/>
        </w:tcBorders>
        <w:shd w:val="clear" w:color="auto" w:fill="D8DEDF" w:themeFill="accent5" w:themeFillTint="3F"/>
      </w:tcPr>
    </w:tblStylePr>
    <w:tblStylePr w:type="band2Horz">
      <w:tblPr/>
      <w:tcPr>
        <w:tcBorders>
          <w:top w:val="single" w:sz="8" w:space="0" w:color="67787B" w:themeColor="accent5"/>
          <w:left w:val="single" w:sz="8" w:space="0" w:color="67787B" w:themeColor="accent5"/>
          <w:bottom w:val="single" w:sz="8" w:space="0" w:color="67787B" w:themeColor="accent5"/>
          <w:right w:val="single" w:sz="8" w:space="0" w:color="67787B" w:themeColor="accent5"/>
          <w:insideV w:val="single" w:sz="8" w:space="0" w:color="67787B" w:themeColor="accent5"/>
        </w:tcBorders>
      </w:tcPr>
    </w:tblStylePr>
  </w:style>
  <w:style w:type="table" w:styleId="LightGrid-Accent6">
    <w:name w:val="Light Grid Accent 6"/>
    <w:basedOn w:val="TableNormal"/>
    <w:uiPriority w:val="62"/>
    <w:pPr>
      <w:spacing w:after="0" w:line="240" w:lineRule="auto"/>
    </w:pPr>
    <w:tblPr>
      <w:tblStyleRowBandSize w:val="1"/>
      <w:tblStyleColBandSize w:val="1"/>
      <w:tblBorders>
        <w:top w:val="single" w:sz="8" w:space="0" w:color="9D936F" w:themeColor="accent6"/>
        <w:left w:val="single" w:sz="8" w:space="0" w:color="9D936F" w:themeColor="accent6"/>
        <w:bottom w:val="single" w:sz="8" w:space="0" w:color="9D936F" w:themeColor="accent6"/>
        <w:right w:val="single" w:sz="8" w:space="0" w:color="9D936F" w:themeColor="accent6"/>
        <w:insideH w:val="single" w:sz="8" w:space="0" w:color="9D936F" w:themeColor="accent6"/>
        <w:insideV w:val="single" w:sz="8" w:space="0" w:color="9D936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D936F" w:themeColor="accent6"/>
          <w:left w:val="single" w:sz="8" w:space="0" w:color="9D936F" w:themeColor="accent6"/>
          <w:bottom w:val="single" w:sz="18" w:space="0" w:color="9D936F" w:themeColor="accent6"/>
          <w:right w:val="single" w:sz="8" w:space="0" w:color="9D936F" w:themeColor="accent6"/>
          <w:insideH w:val="nil"/>
          <w:insideV w:val="single" w:sz="8" w:space="0" w:color="9D936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D936F" w:themeColor="accent6"/>
          <w:left w:val="single" w:sz="8" w:space="0" w:color="9D936F" w:themeColor="accent6"/>
          <w:bottom w:val="single" w:sz="8" w:space="0" w:color="9D936F" w:themeColor="accent6"/>
          <w:right w:val="single" w:sz="8" w:space="0" w:color="9D936F" w:themeColor="accent6"/>
          <w:insideH w:val="nil"/>
          <w:insideV w:val="single" w:sz="8" w:space="0" w:color="9D936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D936F" w:themeColor="accent6"/>
          <w:left w:val="single" w:sz="8" w:space="0" w:color="9D936F" w:themeColor="accent6"/>
          <w:bottom w:val="single" w:sz="8" w:space="0" w:color="9D936F" w:themeColor="accent6"/>
          <w:right w:val="single" w:sz="8" w:space="0" w:color="9D936F" w:themeColor="accent6"/>
        </w:tcBorders>
      </w:tcPr>
    </w:tblStylePr>
    <w:tblStylePr w:type="band1Vert">
      <w:tblPr/>
      <w:tcPr>
        <w:tcBorders>
          <w:top w:val="single" w:sz="8" w:space="0" w:color="9D936F" w:themeColor="accent6"/>
          <w:left w:val="single" w:sz="8" w:space="0" w:color="9D936F" w:themeColor="accent6"/>
          <w:bottom w:val="single" w:sz="8" w:space="0" w:color="9D936F" w:themeColor="accent6"/>
          <w:right w:val="single" w:sz="8" w:space="0" w:color="9D936F" w:themeColor="accent6"/>
        </w:tcBorders>
        <w:shd w:val="clear" w:color="auto" w:fill="E6E4DB" w:themeFill="accent6" w:themeFillTint="3F"/>
      </w:tcPr>
    </w:tblStylePr>
    <w:tblStylePr w:type="band1Horz">
      <w:tblPr/>
      <w:tcPr>
        <w:tcBorders>
          <w:top w:val="single" w:sz="8" w:space="0" w:color="9D936F" w:themeColor="accent6"/>
          <w:left w:val="single" w:sz="8" w:space="0" w:color="9D936F" w:themeColor="accent6"/>
          <w:bottom w:val="single" w:sz="8" w:space="0" w:color="9D936F" w:themeColor="accent6"/>
          <w:right w:val="single" w:sz="8" w:space="0" w:color="9D936F" w:themeColor="accent6"/>
          <w:insideV w:val="single" w:sz="8" w:space="0" w:color="9D936F" w:themeColor="accent6"/>
        </w:tcBorders>
        <w:shd w:val="clear" w:color="auto" w:fill="E6E4DB" w:themeFill="accent6" w:themeFillTint="3F"/>
      </w:tcPr>
    </w:tblStylePr>
    <w:tblStylePr w:type="band2Horz">
      <w:tblPr/>
      <w:tcPr>
        <w:tcBorders>
          <w:top w:val="single" w:sz="8" w:space="0" w:color="9D936F" w:themeColor="accent6"/>
          <w:left w:val="single" w:sz="8" w:space="0" w:color="9D936F" w:themeColor="accent6"/>
          <w:bottom w:val="single" w:sz="8" w:space="0" w:color="9D936F" w:themeColor="accent6"/>
          <w:right w:val="single" w:sz="8" w:space="0" w:color="9D936F" w:themeColor="accent6"/>
          <w:insideV w:val="single" w:sz="8" w:space="0" w:color="9D936F" w:themeColor="accent6"/>
        </w:tcBorders>
      </w:tcPr>
    </w:tblStylePr>
  </w:style>
  <w:style w:type="table" w:styleId="LightList">
    <w:name w:val="Light List"/>
    <w:basedOn w:val="TableNormal"/>
    <w:uiPriority w:val="6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pPr>
      <w:spacing w:after="0" w:line="240" w:lineRule="auto"/>
    </w:pPr>
    <w:tblPr>
      <w:tblStyleRowBandSize w:val="1"/>
      <w:tblStyleColBandSize w:val="1"/>
      <w:tblBorders>
        <w:top w:val="single" w:sz="8" w:space="0" w:color="7E97AD" w:themeColor="accent1"/>
        <w:left w:val="single" w:sz="8" w:space="0" w:color="7E97AD" w:themeColor="accent1"/>
        <w:bottom w:val="single" w:sz="8" w:space="0" w:color="7E97AD" w:themeColor="accent1"/>
        <w:right w:val="single" w:sz="8" w:space="0" w:color="7E97AD" w:themeColor="accent1"/>
      </w:tblBorders>
    </w:tblPr>
    <w:tblStylePr w:type="firstRow">
      <w:pPr>
        <w:spacing w:before="0" w:after="0" w:line="240" w:lineRule="auto"/>
      </w:pPr>
      <w:rPr>
        <w:b/>
        <w:bCs/>
        <w:color w:val="FFFFFF" w:themeColor="background1"/>
      </w:rPr>
      <w:tblPr/>
      <w:tcPr>
        <w:shd w:val="clear" w:color="auto" w:fill="7E97AD" w:themeFill="accent1"/>
      </w:tcPr>
    </w:tblStylePr>
    <w:tblStylePr w:type="lastRow">
      <w:pPr>
        <w:spacing w:before="0" w:after="0" w:line="240" w:lineRule="auto"/>
      </w:pPr>
      <w:rPr>
        <w:b/>
        <w:bCs/>
      </w:rPr>
      <w:tblPr/>
      <w:tcPr>
        <w:tcBorders>
          <w:top w:val="double" w:sz="6" w:space="0" w:color="7E97AD" w:themeColor="accent1"/>
          <w:left w:val="single" w:sz="8" w:space="0" w:color="7E97AD" w:themeColor="accent1"/>
          <w:bottom w:val="single" w:sz="8" w:space="0" w:color="7E97AD" w:themeColor="accent1"/>
          <w:right w:val="single" w:sz="8" w:space="0" w:color="7E97AD" w:themeColor="accent1"/>
        </w:tcBorders>
      </w:tcPr>
    </w:tblStylePr>
    <w:tblStylePr w:type="firstCol">
      <w:rPr>
        <w:b/>
        <w:bCs/>
      </w:rPr>
    </w:tblStylePr>
    <w:tblStylePr w:type="lastCol">
      <w:rPr>
        <w:b/>
        <w:bCs/>
      </w:rPr>
    </w:tblStylePr>
    <w:tblStylePr w:type="band1Vert">
      <w:tblPr/>
      <w:tcPr>
        <w:tcBorders>
          <w:top w:val="single" w:sz="8" w:space="0" w:color="7E97AD" w:themeColor="accent1"/>
          <w:left w:val="single" w:sz="8" w:space="0" w:color="7E97AD" w:themeColor="accent1"/>
          <w:bottom w:val="single" w:sz="8" w:space="0" w:color="7E97AD" w:themeColor="accent1"/>
          <w:right w:val="single" w:sz="8" w:space="0" w:color="7E97AD" w:themeColor="accent1"/>
        </w:tcBorders>
      </w:tcPr>
    </w:tblStylePr>
    <w:tblStylePr w:type="band1Horz">
      <w:tblPr/>
      <w:tcPr>
        <w:tcBorders>
          <w:top w:val="single" w:sz="8" w:space="0" w:color="7E97AD" w:themeColor="accent1"/>
          <w:left w:val="single" w:sz="8" w:space="0" w:color="7E97AD" w:themeColor="accent1"/>
          <w:bottom w:val="single" w:sz="8" w:space="0" w:color="7E97AD" w:themeColor="accent1"/>
          <w:right w:val="single" w:sz="8" w:space="0" w:color="7E97AD" w:themeColor="accent1"/>
        </w:tcBorders>
      </w:tcPr>
    </w:tblStylePr>
  </w:style>
  <w:style w:type="table" w:styleId="LightList-Accent2">
    <w:name w:val="Light List Accent 2"/>
    <w:basedOn w:val="TableNormal"/>
    <w:uiPriority w:val="61"/>
    <w:pPr>
      <w:spacing w:after="0" w:line="240" w:lineRule="auto"/>
    </w:pPr>
    <w:tblPr>
      <w:tblStyleRowBandSize w:val="1"/>
      <w:tblStyleColBandSize w:val="1"/>
      <w:tblBorders>
        <w:top w:val="single" w:sz="8" w:space="0" w:color="CC8E60" w:themeColor="accent2"/>
        <w:left w:val="single" w:sz="8" w:space="0" w:color="CC8E60" w:themeColor="accent2"/>
        <w:bottom w:val="single" w:sz="8" w:space="0" w:color="CC8E60" w:themeColor="accent2"/>
        <w:right w:val="single" w:sz="8" w:space="0" w:color="CC8E60" w:themeColor="accent2"/>
      </w:tblBorders>
    </w:tblPr>
    <w:tblStylePr w:type="firstRow">
      <w:pPr>
        <w:spacing w:before="0" w:after="0" w:line="240" w:lineRule="auto"/>
      </w:pPr>
      <w:rPr>
        <w:b/>
        <w:bCs/>
        <w:color w:val="FFFFFF" w:themeColor="background1"/>
      </w:rPr>
      <w:tblPr/>
      <w:tcPr>
        <w:shd w:val="clear" w:color="auto" w:fill="CC8E60" w:themeFill="accent2"/>
      </w:tcPr>
    </w:tblStylePr>
    <w:tblStylePr w:type="lastRow">
      <w:pPr>
        <w:spacing w:before="0" w:after="0" w:line="240" w:lineRule="auto"/>
      </w:pPr>
      <w:rPr>
        <w:b/>
        <w:bCs/>
      </w:rPr>
      <w:tblPr/>
      <w:tcPr>
        <w:tcBorders>
          <w:top w:val="double" w:sz="6" w:space="0" w:color="CC8E60" w:themeColor="accent2"/>
          <w:left w:val="single" w:sz="8" w:space="0" w:color="CC8E60" w:themeColor="accent2"/>
          <w:bottom w:val="single" w:sz="8" w:space="0" w:color="CC8E60" w:themeColor="accent2"/>
          <w:right w:val="single" w:sz="8" w:space="0" w:color="CC8E60" w:themeColor="accent2"/>
        </w:tcBorders>
      </w:tcPr>
    </w:tblStylePr>
    <w:tblStylePr w:type="firstCol">
      <w:rPr>
        <w:b/>
        <w:bCs/>
      </w:rPr>
    </w:tblStylePr>
    <w:tblStylePr w:type="lastCol">
      <w:rPr>
        <w:b/>
        <w:bCs/>
      </w:rPr>
    </w:tblStylePr>
    <w:tblStylePr w:type="band1Vert">
      <w:tblPr/>
      <w:tcPr>
        <w:tcBorders>
          <w:top w:val="single" w:sz="8" w:space="0" w:color="CC8E60" w:themeColor="accent2"/>
          <w:left w:val="single" w:sz="8" w:space="0" w:color="CC8E60" w:themeColor="accent2"/>
          <w:bottom w:val="single" w:sz="8" w:space="0" w:color="CC8E60" w:themeColor="accent2"/>
          <w:right w:val="single" w:sz="8" w:space="0" w:color="CC8E60" w:themeColor="accent2"/>
        </w:tcBorders>
      </w:tcPr>
    </w:tblStylePr>
    <w:tblStylePr w:type="band1Horz">
      <w:tblPr/>
      <w:tcPr>
        <w:tcBorders>
          <w:top w:val="single" w:sz="8" w:space="0" w:color="CC8E60" w:themeColor="accent2"/>
          <w:left w:val="single" w:sz="8" w:space="0" w:color="CC8E60" w:themeColor="accent2"/>
          <w:bottom w:val="single" w:sz="8" w:space="0" w:color="CC8E60" w:themeColor="accent2"/>
          <w:right w:val="single" w:sz="8" w:space="0" w:color="CC8E60" w:themeColor="accent2"/>
        </w:tcBorders>
      </w:tcPr>
    </w:tblStylePr>
  </w:style>
  <w:style w:type="table" w:styleId="LightList-Accent3">
    <w:name w:val="Light List Accent 3"/>
    <w:basedOn w:val="TableNormal"/>
    <w:uiPriority w:val="61"/>
    <w:pPr>
      <w:spacing w:after="0" w:line="240" w:lineRule="auto"/>
    </w:pPr>
    <w:tblPr>
      <w:tblStyleRowBandSize w:val="1"/>
      <w:tblStyleColBandSize w:val="1"/>
      <w:tblBorders>
        <w:top w:val="single" w:sz="8" w:space="0" w:color="7A6A60" w:themeColor="accent3"/>
        <w:left w:val="single" w:sz="8" w:space="0" w:color="7A6A60" w:themeColor="accent3"/>
        <w:bottom w:val="single" w:sz="8" w:space="0" w:color="7A6A60" w:themeColor="accent3"/>
        <w:right w:val="single" w:sz="8" w:space="0" w:color="7A6A60" w:themeColor="accent3"/>
      </w:tblBorders>
    </w:tblPr>
    <w:tblStylePr w:type="firstRow">
      <w:pPr>
        <w:spacing w:before="0" w:after="0" w:line="240" w:lineRule="auto"/>
      </w:pPr>
      <w:rPr>
        <w:b/>
        <w:bCs/>
        <w:color w:val="FFFFFF" w:themeColor="background1"/>
      </w:rPr>
      <w:tblPr/>
      <w:tcPr>
        <w:shd w:val="clear" w:color="auto" w:fill="7A6A60" w:themeFill="accent3"/>
      </w:tcPr>
    </w:tblStylePr>
    <w:tblStylePr w:type="lastRow">
      <w:pPr>
        <w:spacing w:before="0" w:after="0" w:line="240" w:lineRule="auto"/>
      </w:pPr>
      <w:rPr>
        <w:b/>
        <w:bCs/>
      </w:rPr>
      <w:tblPr/>
      <w:tcPr>
        <w:tcBorders>
          <w:top w:val="double" w:sz="6" w:space="0" w:color="7A6A60" w:themeColor="accent3"/>
          <w:left w:val="single" w:sz="8" w:space="0" w:color="7A6A60" w:themeColor="accent3"/>
          <w:bottom w:val="single" w:sz="8" w:space="0" w:color="7A6A60" w:themeColor="accent3"/>
          <w:right w:val="single" w:sz="8" w:space="0" w:color="7A6A60" w:themeColor="accent3"/>
        </w:tcBorders>
      </w:tcPr>
    </w:tblStylePr>
    <w:tblStylePr w:type="firstCol">
      <w:rPr>
        <w:b/>
        <w:bCs/>
      </w:rPr>
    </w:tblStylePr>
    <w:tblStylePr w:type="lastCol">
      <w:rPr>
        <w:b/>
        <w:bCs/>
      </w:rPr>
    </w:tblStylePr>
    <w:tblStylePr w:type="band1Vert">
      <w:tblPr/>
      <w:tcPr>
        <w:tcBorders>
          <w:top w:val="single" w:sz="8" w:space="0" w:color="7A6A60" w:themeColor="accent3"/>
          <w:left w:val="single" w:sz="8" w:space="0" w:color="7A6A60" w:themeColor="accent3"/>
          <w:bottom w:val="single" w:sz="8" w:space="0" w:color="7A6A60" w:themeColor="accent3"/>
          <w:right w:val="single" w:sz="8" w:space="0" w:color="7A6A60" w:themeColor="accent3"/>
        </w:tcBorders>
      </w:tcPr>
    </w:tblStylePr>
    <w:tblStylePr w:type="band1Horz">
      <w:tblPr/>
      <w:tcPr>
        <w:tcBorders>
          <w:top w:val="single" w:sz="8" w:space="0" w:color="7A6A60" w:themeColor="accent3"/>
          <w:left w:val="single" w:sz="8" w:space="0" w:color="7A6A60" w:themeColor="accent3"/>
          <w:bottom w:val="single" w:sz="8" w:space="0" w:color="7A6A60" w:themeColor="accent3"/>
          <w:right w:val="single" w:sz="8" w:space="0" w:color="7A6A60" w:themeColor="accent3"/>
        </w:tcBorders>
      </w:tcPr>
    </w:tblStylePr>
  </w:style>
  <w:style w:type="table" w:styleId="LightList-Accent4">
    <w:name w:val="Light List Accent 4"/>
    <w:basedOn w:val="TableNormal"/>
    <w:uiPriority w:val="61"/>
    <w:pPr>
      <w:spacing w:after="0" w:line="240" w:lineRule="auto"/>
    </w:pPr>
    <w:tblPr>
      <w:tblStyleRowBandSize w:val="1"/>
      <w:tblStyleColBandSize w:val="1"/>
      <w:tblBorders>
        <w:top w:val="single" w:sz="8" w:space="0" w:color="B4936D" w:themeColor="accent4"/>
        <w:left w:val="single" w:sz="8" w:space="0" w:color="B4936D" w:themeColor="accent4"/>
        <w:bottom w:val="single" w:sz="8" w:space="0" w:color="B4936D" w:themeColor="accent4"/>
        <w:right w:val="single" w:sz="8" w:space="0" w:color="B4936D" w:themeColor="accent4"/>
      </w:tblBorders>
    </w:tblPr>
    <w:tblStylePr w:type="firstRow">
      <w:pPr>
        <w:spacing w:before="0" w:after="0" w:line="240" w:lineRule="auto"/>
      </w:pPr>
      <w:rPr>
        <w:b/>
        <w:bCs/>
        <w:color w:val="FFFFFF" w:themeColor="background1"/>
      </w:rPr>
      <w:tblPr/>
      <w:tcPr>
        <w:shd w:val="clear" w:color="auto" w:fill="B4936D" w:themeFill="accent4"/>
      </w:tcPr>
    </w:tblStylePr>
    <w:tblStylePr w:type="lastRow">
      <w:pPr>
        <w:spacing w:before="0" w:after="0" w:line="240" w:lineRule="auto"/>
      </w:pPr>
      <w:rPr>
        <w:b/>
        <w:bCs/>
      </w:rPr>
      <w:tblPr/>
      <w:tcPr>
        <w:tcBorders>
          <w:top w:val="double" w:sz="6" w:space="0" w:color="B4936D" w:themeColor="accent4"/>
          <w:left w:val="single" w:sz="8" w:space="0" w:color="B4936D" w:themeColor="accent4"/>
          <w:bottom w:val="single" w:sz="8" w:space="0" w:color="B4936D" w:themeColor="accent4"/>
          <w:right w:val="single" w:sz="8" w:space="0" w:color="B4936D" w:themeColor="accent4"/>
        </w:tcBorders>
      </w:tcPr>
    </w:tblStylePr>
    <w:tblStylePr w:type="firstCol">
      <w:rPr>
        <w:b/>
        <w:bCs/>
      </w:rPr>
    </w:tblStylePr>
    <w:tblStylePr w:type="lastCol">
      <w:rPr>
        <w:b/>
        <w:bCs/>
      </w:rPr>
    </w:tblStylePr>
    <w:tblStylePr w:type="band1Vert">
      <w:tblPr/>
      <w:tcPr>
        <w:tcBorders>
          <w:top w:val="single" w:sz="8" w:space="0" w:color="B4936D" w:themeColor="accent4"/>
          <w:left w:val="single" w:sz="8" w:space="0" w:color="B4936D" w:themeColor="accent4"/>
          <w:bottom w:val="single" w:sz="8" w:space="0" w:color="B4936D" w:themeColor="accent4"/>
          <w:right w:val="single" w:sz="8" w:space="0" w:color="B4936D" w:themeColor="accent4"/>
        </w:tcBorders>
      </w:tcPr>
    </w:tblStylePr>
    <w:tblStylePr w:type="band1Horz">
      <w:tblPr/>
      <w:tcPr>
        <w:tcBorders>
          <w:top w:val="single" w:sz="8" w:space="0" w:color="B4936D" w:themeColor="accent4"/>
          <w:left w:val="single" w:sz="8" w:space="0" w:color="B4936D" w:themeColor="accent4"/>
          <w:bottom w:val="single" w:sz="8" w:space="0" w:color="B4936D" w:themeColor="accent4"/>
          <w:right w:val="single" w:sz="8" w:space="0" w:color="B4936D" w:themeColor="accent4"/>
        </w:tcBorders>
      </w:tcPr>
    </w:tblStylePr>
  </w:style>
  <w:style w:type="table" w:styleId="LightList-Accent5">
    <w:name w:val="Light List Accent 5"/>
    <w:basedOn w:val="TableNormal"/>
    <w:uiPriority w:val="61"/>
    <w:pPr>
      <w:spacing w:after="0" w:line="240" w:lineRule="auto"/>
    </w:pPr>
    <w:tblPr>
      <w:tblStyleRowBandSize w:val="1"/>
      <w:tblStyleColBandSize w:val="1"/>
      <w:tblBorders>
        <w:top w:val="single" w:sz="8" w:space="0" w:color="67787B" w:themeColor="accent5"/>
        <w:left w:val="single" w:sz="8" w:space="0" w:color="67787B" w:themeColor="accent5"/>
        <w:bottom w:val="single" w:sz="8" w:space="0" w:color="67787B" w:themeColor="accent5"/>
        <w:right w:val="single" w:sz="8" w:space="0" w:color="67787B" w:themeColor="accent5"/>
      </w:tblBorders>
    </w:tblPr>
    <w:tblStylePr w:type="firstRow">
      <w:pPr>
        <w:spacing w:before="0" w:after="0" w:line="240" w:lineRule="auto"/>
      </w:pPr>
      <w:rPr>
        <w:b/>
        <w:bCs/>
        <w:color w:val="FFFFFF" w:themeColor="background1"/>
      </w:rPr>
      <w:tblPr/>
      <w:tcPr>
        <w:shd w:val="clear" w:color="auto" w:fill="67787B" w:themeFill="accent5"/>
      </w:tcPr>
    </w:tblStylePr>
    <w:tblStylePr w:type="lastRow">
      <w:pPr>
        <w:spacing w:before="0" w:after="0" w:line="240" w:lineRule="auto"/>
      </w:pPr>
      <w:rPr>
        <w:b/>
        <w:bCs/>
      </w:rPr>
      <w:tblPr/>
      <w:tcPr>
        <w:tcBorders>
          <w:top w:val="double" w:sz="6" w:space="0" w:color="67787B" w:themeColor="accent5"/>
          <w:left w:val="single" w:sz="8" w:space="0" w:color="67787B" w:themeColor="accent5"/>
          <w:bottom w:val="single" w:sz="8" w:space="0" w:color="67787B" w:themeColor="accent5"/>
          <w:right w:val="single" w:sz="8" w:space="0" w:color="67787B" w:themeColor="accent5"/>
        </w:tcBorders>
      </w:tcPr>
    </w:tblStylePr>
    <w:tblStylePr w:type="firstCol">
      <w:rPr>
        <w:b/>
        <w:bCs/>
      </w:rPr>
    </w:tblStylePr>
    <w:tblStylePr w:type="lastCol">
      <w:rPr>
        <w:b/>
        <w:bCs/>
      </w:rPr>
    </w:tblStylePr>
    <w:tblStylePr w:type="band1Vert">
      <w:tblPr/>
      <w:tcPr>
        <w:tcBorders>
          <w:top w:val="single" w:sz="8" w:space="0" w:color="67787B" w:themeColor="accent5"/>
          <w:left w:val="single" w:sz="8" w:space="0" w:color="67787B" w:themeColor="accent5"/>
          <w:bottom w:val="single" w:sz="8" w:space="0" w:color="67787B" w:themeColor="accent5"/>
          <w:right w:val="single" w:sz="8" w:space="0" w:color="67787B" w:themeColor="accent5"/>
        </w:tcBorders>
      </w:tcPr>
    </w:tblStylePr>
    <w:tblStylePr w:type="band1Horz">
      <w:tblPr/>
      <w:tcPr>
        <w:tcBorders>
          <w:top w:val="single" w:sz="8" w:space="0" w:color="67787B" w:themeColor="accent5"/>
          <w:left w:val="single" w:sz="8" w:space="0" w:color="67787B" w:themeColor="accent5"/>
          <w:bottom w:val="single" w:sz="8" w:space="0" w:color="67787B" w:themeColor="accent5"/>
          <w:right w:val="single" w:sz="8" w:space="0" w:color="67787B" w:themeColor="accent5"/>
        </w:tcBorders>
      </w:tcPr>
    </w:tblStylePr>
  </w:style>
  <w:style w:type="table" w:styleId="LightList-Accent6">
    <w:name w:val="Light List Accent 6"/>
    <w:basedOn w:val="TableNormal"/>
    <w:uiPriority w:val="61"/>
    <w:pPr>
      <w:spacing w:after="0" w:line="240" w:lineRule="auto"/>
    </w:pPr>
    <w:tblPr>
      <w:tblStyleRowBandSize w:val="1"/>
      <w:tblStyleColBandSize w:val="1"/>
      <w:tblBorders>
        <w:top w:val="single" w:sz="8" w:space="0" w:color="9D936F" w:themeColor="accent6"/>
        <w:left w:val="single" w:sz="8" w:space="0" w:color="9D936F" w:themeColor="accent6"/>
        <w:bottom w:val="single" w:sz="8" w:space="0" w:color="9D936F" w:themeColor="accent6"/>
        <w:right w:val="single" w:sz="8" w:space="0" w:color="9D936F" w:themeColor="accent6"/>
      </w:tblBorders>
    </w:tblPr>
    <w:tblStylePr w:type="firstRow">
      <w:pPr>
        <w:spacing w:before="0" w:after="0" w:line="240" w:lineRule="auto"/>
      </w:pPr>
      <w:rPr>
        <w:b/>
        <w:bCs/>
        <w:color w:val="FFFFFF" w:themeColor="background1"/>
      </w:rPr>
      <w:tblPr/>
      <w:tcPr>
        <w:shd w:val="clear" w:color="auto" w:fill="9D936F" w:themeFill="accent6"/>
      </w:tcPr>
    </w:tblStylePr>
    <w:tblStylePr w:type="lastRow">
      <w:pPr>
        <w:spacing w:before="0" w:after="0" w:line="240" w:lineRule="auto"/>
      </w:pPr>
      <w:rPr>
        <w:b/>
        <w:bCs/>
      </w:rPr>
      <w:tblPr/>
      <w:tcPr>
        <w:tcBorders>
          <w:top w:val="double" w:sz="6" w:space="0" w:color="9D936F" w:themeColor="accent6"/>
          <w:left w:val="single" w:sz="8" w:space="0" w:color="9D936F" w:themeColor="accent6"/>
          <w:bottom w:val="single" w:sz="8" w:space="0" w:color="9D936F" w:themeColor="accent6"/>
          <w:right w:val="single" w:sz="8" w:space="0" w:color="9D936F" w:themeColor="accent6"/>
        </w:tcBorders>
      </w:tcPr>
    </w:tblStylePr>
    <w:tblStylePr w:type="firstCol">
      <w:rPr>
        <w:b/>
        <w:bCs/>
      </w:rPr>
    </w:tblStylePr>
    <w:tblStylePr w:type="lastCol">
      <w:rPr>
        <w:b/>
        <w:bCs/>
      </w:rPr>
    </w:tblStylePr>
    <w:tblStylePr w:type="band1Vert">
      <w:tblPr/>
      <w:tcPr>
        <w:tcBorders>
          <w:top w:val="single" w:sz="8" w:space="0" w:color="9D936F" w:themeColor="accent6"/>
          <w:left w:val="single" w:sz="8" w:space="0" w:color="9D936F" w:themeColor="accent6"/>
          <w:bottom w:val="single" w:sz="8" w:space="0" w:color="9D936F" w:themeColor="accent6"/>
          <w:right w:val="single" w:sz="8" w:space="0" w:color="9D936F" w:themeColor="accent6"/>
        </w:tcBorders>
      </w:tcPr>
    </w:tblStylePr>
    <w:tblStylePr w:type="band1Horz">
      <w:tblPr/>
      <w:tcPr>
        <w:tcBorders>
          <w:top w:val="single" w:sz="8" w:space="0" w:color="9D936F" w:themeColor="accent6"/>
          <w:left w:val="single" w:sz="8" w:space="0" w:color="9D936F" w:themeColor="accent6"/>
          <w:bottom w:val="single" w:sz="8" w:space="0" w:color="9D936F" w:themeColor="accent6"/>
          <w:right w:val="single" w:sz="8" w:space="0" w:color="9D936F" w:themeColor="accent6"/>
        </w:tcBorders>
      </w:tcPr>
    </w:tblStylePr>
  </w:style>
  <w:style w:type="table" w:styleId="LightShading">
    <w:name w:val="Light Shading"/>
    <w:basedOn w:val="TableNormal"/>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pPr>
      <w:spacing w:after="0" w:line="240" w:lineRule="auto"/>
    </w:pPr>
    <w:rPr>
      <w:color w:val="577188" w:themeColor="accent1" w:themeShade="BF"/>
    </w:rPr>
    <w:tblPr>
      <w:tblStyleRowBandSize w:val="1"/>
      <w:tblStyleColBandSize w:val="1"/>
      <w:tblBorders>
        <w:top w:val="single" w:sz="8" w:space="0" w:color="7E97AD" w:themeColor="accent1"/>
        <w:bottom w:val="single" w:sz="8" w:space="0" w:color="7E97AD" w:themeColor="accent1"/>
      </w:tblBorders>
    </w:tblPr>
    <w:tblStylePr w:type="firstRow">
      <w:pPr>
        <w:spacing w:before="0" w:after="0" w:line="240" w:lineRule="auto"/>
      </w:pPr>
      <w:rPr>
        <w:b/>
        <w:bCs/>
      </w:rPr>
      <w:tblPr/>
      <w:tcPr>
        <w:tcBorders>
          <w:top w:val="single" w:sz="8" w:space="0" w:color="7E97AD" w:themeColor="accent1"/>
          <w:left w:val="nil"/>
          <w:bottom w:val="single" w:sz="8" w:space="0" w:color="7E97AD" w:themeColor="accent1"/>
          <w:right w:val="nil"/>
          <w:insideH w:val="nil"/>
          <w:insideV w:val="nil"/>
        </w:tcBorders>
      </w:tcPr>
    </w:tblStylePr>
    <w:tblStylePr w:type="lastRow">
      <w:pPr>
        <w:spacing w:before="0" w:after="0" w:line="240" w:lineRule="auto"/>
      </w:pPr>
      <w:rPr>
        <w:b/>
        <w:bCs/>
      </w:rPr>
      <w:tblPr/>
      <w:tcPr>
        <w:tcBorders>
          <w:top w:val="single" w:sz="8" w:space="0" w:color="7E97AD" w:themeColor="accent1"/>
          <w:left w:val="nil"/>
          <w:bottom w:val="single" w:sz="8" w:space="0" w:color="7E97A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E5EA" w:themeFill="accent1" w:themeFillTint="3F"/>
      </w:tcPr>
    </w:tblStylePr>
    <w:tblStylePr w:type="band1Horz">
      <w:tblPr/>
      <w:tcPr>
        <w:tcBorders>
          <w:left w:val="nil"/>
          <w:right w:val="nil"/>
          <w:insideH w:val="nil"/>
          <w:insideV w:val="nil"/>
        </w:tcBorders>
        <w:shd w:val="clear" w:color="auto" w:fill="DFE5EA" w:themeFill="accent1" w:themeFillTint="3F"/>
      </w:tcPr>
    </w:tblStylePr>
  </w:style>
  <w:style w:type="table" w:styleId="LightShading-Accent2">
    <w:name w:val="Light Shading Accent 2"/>
    <w:basedOn w:val="TableNormal"/>
    <w:uiPriority w:val="60"/>
    <w:pPr>
      <w:spacing w:after="0" w:line="240" w:lineRule="auto"/>
    </w:pPr>
    <w:rPr>
      <w:color w:val="AA6736" w:themeColor="accent2" w:themeShade="BF"/>
    </w:rPr>
    <w:tblPr>
      <w:tblStyleRowBandSize w:val="1"/>
      <w:tblStyleColBandSize w:val="1"/>
      <w:tblBorders>
        <w:top w:val="single" w:sz="8" w:space="0" w:color="CC8E60" w:themeColor="accent2"/>
        <w:bottom w:val="single" w:sz="8" w:space="0" w:color="CC8E60" w:themeColor="accent2"/>
      </w:tblBorders>
    </w:tblPr>
    <w:tblStylePr w:type="firstRow">
      <w:pPr>
        <w:spacing w:before="0" w:after="0" w:line="240" w:lineRule="auto"/>
      </w:pPr>
      <w:rPr>
        <w:b/>
        <w:bCs/>
      </w:rPr>
      <w:tblPr/>
      <w:tcPr>
        <w:tcBorders>
          <w:top w:val="single" w:sz="8" w:space="0" w:color="CC8E60" w:themeColor="accent2"/>
          <w:left w:val="nil"/>
          <w:bottom w:val="single" w:sz="8" w:space="0" w:color="CC8E60" w:themeColor="accent2"/>
          <w:right w:val="nil"/>
          <w:insideH w:val="nil"/>
          <w:insideV w:val="nil"/>
        </w:tcBorders>
      </w:tcPr>
    </w:tblStylePr>
    <w:tblStylePr w:type="lastRow">
      <w:pPr>
        <w:spacing w:before="0" w:after="0" w:line="240" w:lineRule="auto"/>
      </w:pPr>
      <w:rPr>
        <w:b/>
        <w:bCs/>
      </w:rPr>
      <w:tblPr/>
      <w:tcPr>
        <w:tcBorders>
          <w:top w:val="single" w:sz="8" w:space="0" w:color="CC8E60" w:themeColor="accent2"/>
          <w:left w:val="nil"/>
          <w:bottom w:val="single" w:sz="8" w:space="0" w:color="CC8E6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E2D7" w:themeFill="accent2" w:themeFillTint="3F"/>
      </w:tcPr>
    </w:tblStylePr>
    <w:tblStylePr w:type="band1Horz">
      <w:tblPr/>
      <w:tcPr>
        <w:tcBorders>
          <w:left w:val="nil"/>
          <w:right w:val="nil"/>
          <w:insideH w:val="nil"/>
          <w:insideV w:val="nil"/>
        </w:tcBorders>
        <w:shd w:val="clear" w:color="auto" w:fill="F2E2D7" w:themeFill="accent2" w:themeFillTint="3F"/>
      </w:tcPr>
    </w:tblStylePr>
  </w:style>
  <w:style w:type="table" w:styleId="LightShading-Accent3">
    <w:name w:val="Light Shading Accent 3"/>
    <w:basedOn w:val="TableNormal"/>
    <w:uiPriority w:val="60"/>
    <w:pPr>
      <w:spacing w:after="0" w:line="240" w:lineRule="auto"/>
    </w:pPr>
    <w:rPr>
      <w:color w:val="5B4F47" w:themeColor="accent3" w:themeShade="BF"/>
    </w:rPr>
    <w:tblPr>
      <w:tblStyleRowBandSize w:val="1"/>
      <w:tblStyleColBandSize w:val="1"/>
      <w:tblBorders>
        <w:top w:val="single" w:sz="8" w:space="0" w:color="7A6A60" w:themeColor="accent3"/>
        <w:bottom w:val="single" w:sz="8" w:space="0" w:color="7A6A60" w:themeColor="accent3"/>
      </w:tblBorders>
    </w:tblPr>
    <w:tblStylePr w:type="firstRow">
      <w:pPr>
        <w:spacing w:before="0" w:after="0" w:line="240" w:lineRule="auto"/>
      </w:pPr>
      <w:rPr>
        <w:b/>
        <w:bCs/>
      </w:rPr>
      <w:tblPr/>
      <w:tcPr>
        <w:tcBorders>
          <w:top w:val="single" w:sz="8" w:space="0" w:color="7A6A60" w:themeColor="accent3"/>
          <w:left w:val="nil"/>
          <w:bottom w:val="single" w:sz="8" w:space="0" w:color="7A6A60" w:themeColor="accent3"/>
          <w:right w:val="nil"/>
          <w:insideH w:val="nil"/>
          <w:insideV w:val="nil"/>
        </w:tcBorders>
      </w:tcPr>
    </w:tblStylePr>
    <w:tblStylePr w:type="lastRow">
      <w:pPr>
        <w:spacing w:before="0" w:after="0" w:line="240" w:lineRule="auto"/>
      </w:pPr>
      <w:rPr>
        <w:b/>
        <w:bCs/>
      </w:rPr>
      <w:tblPr/>
      <w:tcPr>
        <w:tcBorders>
          <w:top w:val="single" w:sz="8" w:space="0" w:color="7A6A60" w:themeColor="accent3"/>
          <w:left w:val="nil"/>
          <w:bottom w:val="single" w:sz="8" w:space="0" w:color="7A6A6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9D6" w:themeFill="accent3" w:themeFillTint="3F"/>
      </w:tcPr>
    </w:tblStylePr>
    <w:tblStylePr w:type="band1Horz">
      <w:tblPr/>
      <w:tcPr>
        <w:tcBorders>
          <w:left w:val="nil"/>
          <w:right w:val="nil"/>
          <w:insideH w:val="nil"/>
          <w:insideV w:val="nil"/>
        </w:tcBorders>
        <w:shd w:val="clear" w:color="auto" w:fill="DFD9D6" w:themeFill="accent3" w:themeFillTint="3F"/>
      </w:tcPr>
    </w:tblStylePr>
  </w:style>
  <w:style w:type="table" w:styleId="LightShading-Accent4">
    <w:name w:val="Light Shading Accent 4"/>
    <w:basedOn w:val="TableNormal"/>
    <w:uiPriority w:val="60"/>
    <w:pPr>
      <w:spacing w:after="0" w:line="240" w:lineRule="auto"/>
    </w:pPr>
    <w:rPr>
      <w:color w:val="8E6E49" w:themeColor="accent4" w:themeShade="BF"/>
    </w:rPr>
    <w:tblPr>
      <w:tblStyleRowBandSize w:val="1"/>
      <w:tblStyleColBandSize w:val="1"/>
      <w:tblBorders>
        <w:top w:val="single" w:sz="8" w:space="0" w:color="B4936D" w:themeColor="accent4"/>
        <w:bottom w:val="single" w:sz="8" w:space="0" w:color="B4936D" w:themeColor="accent4"/>
      </w:tblBorders>
    </w:tblPr>
    <w:tblStylePr w:type="firstRow">
      <w:pPr>
        <w:spacing w:before="0" w:after="0" w:line="240" w:lineRule="auto"/>
      </w:pPr>
      <w:rPr>
        <w:b/>
        <w:bCs/>
      </w:rPr>
      <w:tblPr/>
      <w:tcPr>
        <w:tcBorders>
          <w:top w:val="single" w:sz="8" w:space="0" w:color="B4936D" w:themeColor="accent4"/>
          <w:left w:val="nil"/>
          <w:bottom w:val="single" w:sz="8" w:space="0" w:color="B4936D" w:themeColor="accent4"/>
          <w:right w:val="nil"/>
          <w:insideH w:val="nil"/>
          <w:insideV w:val="nil"/>
        </w:tcBorders>
      </w:tcPr>
    </w:tblStylePr>
    <w:tblStylePr w:type="lastRow">
      <w:pPr>
        <w:spacing w:before="0" w:after="0" w:line="240" w:lineRule="auto"/>
      </w:pPr>
      <w:rPr>
        <w:b/>
        <w:bCs/>
      </w:rPr>
      <w:tblPr/>
      <w:tcPr>
        <w:tcBorders>
          <w:top w:val="single" w:sz="8" w:space="0" w:color="B4936D" w:themeColor="accent4"/>
          <w:left w:val="nil"/>
          <w:bottom w:val="single" w:sz="8" w:space="0" w:color="B4936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4DA" w:themeFill="accent4" w:themeFillTint="3F"/>
      </w:tcPr>
    </w:tblStylePr>
    <w:tblStylePr w:type="band1Horz">
      <w:tblPr/>
      <w:tcPr>
        <w:tcBorders>
          <w:left w:val="nil"/>
          <w:right w:val="nil"/>
          <w:insideH w:val="nil"/>
          <w:insideV w:val="nil"/>
        </w:tcBorders>
        <w:shd w:val="clear" w:color="auto" w:fill="ECE4DA" w:themeFill="accent4" w:themeFillTint="3F"/>
      </w:tcPr>
    </w:tblStylePr>
  </w:style>
  <w:style w:type="table" w:styleId="LightShading-Accent5">
    <w:name w:val="Light Shading Accent 5"/>
    <w:basedOn w:val="TableNormal"/>
    <w:uiPriority w:val="60"/>
    <w:pPr>
      <w:spacing w:after="0" w:line="240" w:lineRule="auto"/>
    </w:pPr>
    <w:rPr>
      <w:color w:val="4D595B" w:themeColor="accent5" w:themeShade="BF"/>
    </w:rPr>
    <w:tblPr>
      <w:tblStyleRowBandSize w:val="1"/>
      <w:tblStyleColBandSize w:val="1"/>
      <w:tblBorders>
        <w:top w:val="single" w:sz="8" w:space="0" w:color="67787B" w:themeColor="accent5"/>
        <w:bottom w:val="single" w:sz="8" w:space="0" w:color="67787B" w:themeColor="accent5"/>
      </w:tblBorders>
    </w:tblPr>
    <w:tblStylePr w:type="firstRow">
      <w:pPr>
        <w:spacing w:before="0" w:after="0" w:line="240" w:lineRule="auto"/>
      </w:pPr>
      <w:rPr>
        <w:b/>
        <w:bCs/>
      </w:rPr>
      <w:tblPr/>
      <w:tcPr>
        <w:tcBorders>
          <w:top w:val="single" w:sz="8" w:space="0" w:color="67787B" w:themeColor="accent5"/>
          <w:left w:val="nil"/>
          <w:bottom w:val="single" w:sz="8" w:space="0" w:color="67787B" w:themeColor="accent5"/>
          <w:right w:val="nil"/>
          <w:insideH w:val="nil"/>
          <w:insideV w:val="nil"/>
        </w:tcBorders>
      </w:tcPr>
    </w:tblStylePr>
    <w:tblStylePr w:type="lastRow">
      <w:pPr>
        <w:spacing w:before="0" w:after="0" w:line="240" w:lineRule="auto"/>
      </w:pPr>
      <w:rPr>
        <w:b/>
        <w:bCs/>
      </w:rPr>
      <w:tblPr/>
      <w:tcPr>
        <w:tcBorders>
          <w:top w:val="single" w:sz="8" w:space="0" w:color="67787B" w:themeColor="accent5"/>
          <w:left w:val="nil"/>
          <w:bottom w:val="single" w:sz="8" w:space="0" w:color="67787B"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DEDF" w:themeFill="accent5" w:themeFillTint="3F"/>
      </w:tcPr>
    </w:tblStylePr>
    <w:tblStylePr w:type="band1Horz">
      <w:tblPr/>
      <w:tcPr>
        <w:tcBorders>
          <w:left w:val="nil"/>
          <w:right w:val="nil"/>
          <w:insideH w:val="nil"/>
          <w:insideV w:val="nil"/>
        </w:tcBorders>
        <w:shd w:val="clear" w:color="auto" w:fill="D8DEDF" w:themeFill="accent5" w:themeFillTint="3F"/>
      </w:tcPr>
    </w:tblStylePr>
  </w:style>
  <w:style w:type="table" w:styleId="LightShading-Accent6">
    <w:name w:val="Light Shading Accent 6"/>
    <w:basedOn w:val="TableNormal"/>
    <w:uiPriority w:val="60"/>
    <w:pPr>
      <w:spacing w:after="0" w:line="240" w:lineRule="auto"/>
    </w:pPr>
    <w:rPr>
      <w:color w:val="776E51" w:themeColor="accent6" w:themeShade="BF"/>
    </w:rPr>
    <w:tblPr>
      <w:tblStyleRowBandSize w:val="1"/>
      <w:tblStyleColBandSize w:val="1"/>
      <w:tblBorders>
        <w:top w:val="single" w:sz="8" w:space="0" w:color="9D936F" w:themeColor="accent6"/>
        <w:bottom w:val="single" w:sz="8" w:space="0" w:color="9D936F" w:themeColor="accent6"/>
      </w:tblBorders>
    </w:tblPr>
    <w:tblStylePr w:type="firstRow">
      <w:pPr>
        <w:spacing w:before="0" w:after="0" w:line="240" w:lineRule="auto"/>
      </w:pPr>
      <w:rPr>
        <w:b/>
        <w:bCs/>
      </w:rPr>
      <w:tblPr/>
      <w:tcPr>
        <w:tcBorders>
          <w:top w:val="single" w:sz="8" w:space="0" w:color="9D936F" w:themeColor="accent6"/>
          <w:left w:val="nil"/>
          <w:bottom w:val="single" w:sz="8" w:space="0" w:color="9D936F" w:themeColor="accent6"/>
          <w:right w:val="nil"/>
          <w:insideH w:val="nil"/>
          <w:insideV w:val="nil"/>
        </w:tcBorders>
      </w:tcPr>
    </w:tblStylePr>
    <w:tblStylePr w:type="lastRow">
      <w:pPr>
        <w:spacing w:before="0" w:after="0" w:line="240" w:lineRule="auto"/>
      </w:pPr>
      <w:rPr>
        <w:b/>
        <w:bCs/>
      </w:rPr>
      <w:tblPr/>
      <w:tcPr>
        <w:tcBorders>
          <w:top w:val="single" w:sz="8" w:space="0" w:color="9D936F" w:themeColor="accent6"/>
          <w:left w:val="nil"/>
          <w:bottom w:val="single" w:sz="8" w:space="0" w:color="9D936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4DB" w:themeFill="accent6" w:themeFillTint="3F"/>
      </w:tcPr>
    </w:tblStylePr>
    <w:tblStylePr w:type="band1Horz">
      <w:tblPr/>
      <w:tcPr>
        <w:tcBorders>
          <w:left w:val="nil"/>
          <w:right w:val="nil"/>
          <w:insideH w:val="nil"/>
          <w:insideV w:val="nil"/>
        </w:tcBorders>
        <w:shd w:val="clear" w:color="auto" w:fill="E6E4DB" w:themeFill="accent6" w:themeFillTint="3F"/>
      </w:tcPr>
    </w:tblStylePr>
  </w:style>
  <w:style w:type="character" w:styleId="LineNumber">
    <w:name w:val="line number"/>
    <w:basedOn w:val="DefaultParagraphFont"/>
    <w:uiPriority w:val="99"/>
    <w:semiHidden/>
    <w:unhideWhenUsed/>
  </w:style>
  <w:style w:type="paragraph" w:styleId="List">
    <w:name w:val="List"/>
    <w:basedOn w:val="Normal"/>
    <w:uiPriority w:val="99"/>
    <w:semiHidden/>
    <w:unhideWhenUsed/>
    <w:pPr>
      <w:ind w:left="360" w:hanging="360"/>
      <w:contextualSpacing/>
    </w:pPr>
  </w:style>
  <w:style w:type="paragraph" w:styleId="List2">
    <w:name w:val="List 2"/>
    <w:basedOn w:val="Normal"/>
    <w:uiPriority w:val="99"/>
    <w:semiHidden/>
    <w:unhideWhenUsed/>
    <w:pPr>
      <w:ind w:left="720" w:hanging="360"/>
      <w:contextualSpacing/>
    </w:pPr>
  </w:style>
  <w:style w:type="paragraph" w:styleId="List3">
    <w:name w:val="List 3"/>
    <w:basedOn w:val="Normal"/>
    <w:uiPriority w:val="99"/>
    <w:semiHidden/>
    <w:unhideWhenUsed/>
    <w:pPr>
      <w:ind w:left="1080" w:hanging="360"/>
      <w:contextualSpacing/>
    </w:pPr>
  </w:style>
  <w:style w:type="paragraph" w:styleId="List4">
    <w:name w:val="List 4"/>
    <w:basedOn w:val="Normal"/>
    <w:uiPriority w:val="99"/>
    <w:semiHidden/>
    <w:unhideWhenUsed/>
    <w:pPr>
      <w:ind w:left="1440" w:hanging="360"/>
      <w:contextualSpacing/>
    </w:pPr>
  </w:style>
  <w:style w:type="paragraph" w:styleId="List5">
    <w:name w:val="List 5"/>
    <w:basedOn w:val="Normal"/>
    <w:uiPriority w:val="99"/>
    <w:semiHidden/>
    <w:unhideWhenUsed/>
    <w:pPr>
      <w:ind w:left="1800" w:hanging="360"/>
      <w:contextualSpacing/>
    </w:pPr>
  </w:style>
  <w:style w:type="paragraph" w:styleId="ListBullet">
    <w:name w:val="List Bullet"/>
    <w:basedOn w:val="Normal"/>
    <w:uiPriority w:val="8"/>
    <w:qFormat/>
    <w:pPr>
      <w:numPr>
        <w:numId w:val="25"/>
      </w:numPr>
      <w:spacing w:after="40"/>
    </w:pPr>
  </w:style>
  <w:style w:type="paragraph" w:styleId="ListBullet2">
    <w:name w:val="List Bullet 2"/>
    <w:basedOn w:val="Normal"/>
    <w:uiPriority w:val="99"/>
    <w:semiHidden/>
    <w:unhideWhenUsed/>
    <w:pPr>
      <w:numPr>
        <w:numId w:val="2"/>
      </w:numPr>
      <w:contextualSpacing/>
    </w:pPr>
  </w:style>
  <w:style w:type="paragraph" w:styleId="ListBullet3">
    <w:name w:val="List Bullet 3"/>
    <w:basedOn w:val="Normal"/>
    <w:uiPriority w:val="99"/>
    <w:semiHidden/>
    <w:unhideWhenUsed/>
    <w:pPr>
      <w:numPr>
        <w:numId w:val="3"/>
      </w:numPr>
      <w:contextualSpacing/>
    </w:pPr>
  </w:style>
  <w:style w:type="paragraph" w:styleId="ListBullet4">
    <w:name w:val="List Bullet 4"/>
    <w:basedOn w:val="Normal"/>
    <w:uiPriority w:val="99"/>
    <w:semiHidden/>
    <w:unhideWhenUsed/>
    <w:pPr>
      <w:numPr>
        <w:numId w:val="4"/>
      </w:numPr>
      <w:contextualSpacing/>
    </w:pPr>
  </w:style>
  <w:style w:type="paragraph" w:styleId="ListBullet5">
    <w:name w:val="List Bullet 5"/>
    <w:basedOn w:val="Normal"/>
    <w:uiPriority w:val="99"/>
    <w:semiHidden/>
    <w:unhideWhenUsed/>
    <w:pPr>
      <w:numPr>
        <w:numId w:val="5"/>
      </w:numPr>
      <w:contextualSpacing/>
    </w:pPr>
  </w:style>
  <w:style w:type="paragraph" w:styleId="ListContinue">
    <w:name w:val="List Continue"/>
    <w:basedOn w:val="Normal"/>
    <w:uiPriority w:val="99"/>
    <w:semiHidden/>
    <w:unhideWhenUsed/>
    <w:pPr>
      <w:spacing w:after="120"/>
      <w:ind w:left="360"/>
      <w:contextualSpacing/>
    </w:pPr>
  </w:style>
  <w:style w:type="paragraph" w:styleId="ListContinue2">
    <w:name w:val="List Continue 2"/>
    <w:basedOn w:val="Normal"/>
    <w:uiPriority w:val="99"/>
    <w:semiHidden/>
    <w:unhideWhenUsed/>
    <w:pPr>
      <w:spacing w:after="120"/>
      <w:ind w:left="720"/>
      <w:contextualSpacing/>
    </w:pPr>
  </w:style>
  <w:style w:type="paragraph" w:styleId="ListContinue3">
    <w:name w:val="List Continue 3"/>
    <w:basedOn w:val="Normal"/>
    <w:uiPriority w:val="99"/>
    <w:semiHidden/>
    <w:unhideWhenUsed/>
    <w:pPr>
      <w:spacing w:after="120"/>
      <w:ind w:left="1080"/>
      <w:contextualSpacing/>
    </w:pPr>
  </w:style>
  <w:style w:type="paragraph" w:styleId="ListContinue4">
    <w:name w:val="List Continue 4"/>
    <w:basedOn w:val="Normal"/>
    <w:uiPriority w:val="99"/>
    <w:semiHidden/>
    <w:unhideWhenUsed/>
    <w:pPr>
      <w:spacing w:after="120"/>
      <w:ind w:left="1440"/>
      <w:contextualSpacing/>
    </w:pPr>
  </w:style>
  <w:style w:type="paragraph" w:styleId="ListContinue5">
    <w:name w:val="List Continue 5"/>
    <w:basedOn w:val="Normal"/>
    <w:uiPriority w:val="99"/>
    <w:semiHidden/>
    <w:unhideWhenUsed/>
    <w:pPr>
      <w:spacing w:after="120"/>
      <w:ind w:left="1800"/>
      <w:contextualSpacing/>
    </w:pPr>
  </w:style>
  <w:style w:type="paragraph" w:styleId="ListNumber">
    <w:name w:val="List Number"/>
    <w:basedOn w:val="Normal"/>
    <w:uiPriority w:val="10"/>
    <w:qFormat/>
    <w:rsid w:val="0058040C"/>
    <w:pPr>
      <w:numPr>
        <w:ilvl w:val="1"/>
        <w:numId w:val="24"/>
      </w:numPr>
      <w:tabs>
        <w:tab w:val="left" w:pos="432"/>
      </w:tabs>
      <w:contextualSpacing/>
    </w:pPr>
  </w:style>
  <w:style w:type="paragraph" w:styleId="ListParagraph">
    <w:name w:val="List Paragraph"/>
    <w:basedOn w:val="Normal"/>
    <w:unhideWhenUsed/>
    <w:qFormat/>
    <w:pPr>
      <w:ind w:left="720"/>
      <w:contextualSpacing/>
    </w:pPr>
  </w:style>
  <w:style w:type="paragraph" w:styleId="MacroText">
    <w:name w:val="macro"/>
    <w:link w:val="MacroTextChar"/>
    <w:uiPriority w:val="99"/>
    <w:semiHidden/>
    <w:unhideWhenUsed/>
    <w:pPr>
      <w:tabs>
        <w:tab w:val="left" w:pos="480"/>
        <w:tab w:val="left" w:pos="960"/>
        <w:tab w:val="left" w:pos="1440"/>
        <w:tab w:val="left" w:pos="1920"/>
        <w:tab w:val="left" w:pos="2400"/>
        <w:tab w:val="left" w:pos="2880"/>
        <w:tab w:val="left" w:pos="3360"/>
        <w:tab w:val="left" w:pos="3840"/>
        <w:tab w:val="left" w:pos="4320"/>
      </w:tabs>
      <w:spacing w:after="0" w:line="300" w:lineRule="auto"/>
    </w:pPr>
    <w:rPr>
      <w:rFonts w:ascii="Consolas" w:hAnsi="Consolas" w:cs="Consolas"/>
    </w:rPr>
  </w:style>
  <w:style w:type="character" w:customStyle="1" w:styleId="MacroTextChar">
    <w:name w:val="Macro Text Char"/>
    <w:basedOn w:val="DefaultParagraphFont"/>
    <w:link w:val="MacroText"/>
    <w:uiPriority w:val="99"/>
    <w:semiHidden/>
    <w:rPr>
      <w:rFonts w:ascii="Consolas" w:hAnsi="Consolas" w:cs="Consolas"/>
      <w:sz w:val="20"/>
    </w:rPr>
  </w:style>
  <w:style w:type="table" w:styleId="MediumGrid1">
    <w:name w:val="Medium Grid 1"/>
    <w:basedOn w:val="TableNormal"/>
    <w:uiPriority w:val="6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pPr>
      <w:spacing w:after="0" w:line="240" w:lineRule="auto"/>
    </w:pPr>
    <w:tblPr>
      <w:tblStyleRowBandSize w:val="1"/>
      <w:tblStyleColBandSize w:val="1"/>
      <w:tblBorders>
        <w:top w:val="single" w:sz="8" w:space="0" w:color="9EB0C1" w:themeColor="accent1" w:themeTint="BF"/>
        <w:left w:val="single" w:sz="8" w:space="0" w:color="9EB0C1" w:themeColor="accent1" w:themeTint="BF"/>
        <w:bottom w:val="single" w:sz="8" w:space="0" w:color="9EB0C1" w:themeColor="accent1" w:themeTint="BF"/>
        <w:right w:val="single" w:sz="8" w:space="0" w:color="9EB0C1" w:themeColor="accent1" w:themeTint="BF"/>
        <w:insideH w:val="single" w:sz="8" w:space="0" w:color="9EB0C1" w:themeColor="accent1" w:themeTint="BF"/>
        <w:insideV w:val="single" w:sz="8" w:space="0" w:color="9EB0C1" w:themeColor="accent1" w:themeTint="BF"/>
      </w:tblBorders>
    </w:tblPr>
    <w:tcPr>
      <w:shd w:val="clear" w:color="auto" w:fill="DFE5EA" w:themeFill="accent1" w:themeFillTint="3F"/>
    </w:tcPr>
    <w:tblStylePr w:type="firstRow">
      <w:rPr>
        <w:b/>
        <w:bCs/>
      </w:rPr>
    </w:tblStylePr>
    <w:tblStylePr w:type="lastRow">
      <w:rPr>
        <w:b/>
        <w:bCs/>
      </w:rPr>
      <w:tblPr/>
      <w:tcPr>
        <w:tcBorders>
          <w:top w:val="single" w:sz="18" w:space="0" w:color="9EB0C1" w:themeColor="accent1" w:themeTint="BF"/>
        </w:tcBorders>
      </w:tcPr>
    </w:tblStylePr>
    <w:tblStylePr w:type="firstCol">
      <w:rPr>
        <w:b/>
        <w:bCs/>
      </w:rPr>
    </w:tblStylePr>
    <w:tblStylePr w:type="lastCol">
      <w:rPr>
        <w:b/>
        <w:bCs/>
      </w:rPr>
    </w:tblStylePr>
    <w:tblStylePr w:type="band1Vert">
      <w:tblPr/>
      <w:tcPr>
        <w:shd w:val="clear" w:color="auto" w:fill="BECBD6" w:themeFill="accent1" w:themeFillTint="7F"/>
      </w:tcPr>
    </w:tblStylePr>
    <w:tblStylePr w:type="band1Horz">
      <w:tblPr/>
      <w:tcPr>
        <w:shd w:val="clear" w:color="auto" w:fill="BECBD6" w:themeFill="accent1" w:themeFillTint="7F"/>
      </w:tcPr>
    </w:tblStylePr>
  </w:style>
  <w:style w:type="table" w:styleId="MediumGrid1-Accent2">
    <w:name w:val="Medium Grid 1 Accent 2"/>
    <w:basedOn w:val="TableNormal"/>
    <w:uiPriority w:val="67"/>
    <w:pPr>
      <w:spacing w:after="0" w:line="240" w:lineRule="auto"/>
    </w:pPr>
    <w:tblPr>
      <w:tblStyleRowBandSize w:val="1"/>
      <w:tblStyleColBandSize w:val="1"/>
      <w:tblBorders>
        <w:top w:val="single" w:sz="8" w:space="0" w:color="D8AA87" w:themeColor="accent2" w:themeTint="BF"/>
        <w:left w:val="single" w:sz="8" w:space="0" w:color="D8AA87" w:themeColor="accent2" w:themeTint="BF"/>
        <w:bottom w:val="single" w:sz="8" w:space="0" w:color="D8AA87" w:themeColor="accent2" w:themeTint="BF"/>
        <w:right w:val="single" w:sz="8" w:space="0" w:color="D8AA87" w:themeColor="accent2" w:themeTint="BF"/>
        <w:insideH w:val="single" w:sz="8" w:space="0" w:color="D8AA87" w:themeColor="accent2" w:themeTint="BF"/>
        <w:insideV w:val="single" w:sz="8" w:space="0" w:color="D8AA87" w:themeColor="accent2" w:themeTint="BF"/>
      </w:tblBorders>
    </w:tblPr>
    <w:tcPr>
      <w:shd w:val="clear" w:color="auto" w:fill="F2E2D7" w:themeFill="accent2" w:themeFillTint="3F"/>
    </w:tcPr>
    <w:tblStylePr w:type="firstRow">
      <w:rPr>
        <w:b/>
        <w:bCs/>
      </w:rPr>
    </w:tblStylePr>
    <w:tblStylePr w:type="lastRow">
      <w:rPr>
        <w:b/>
        <w:bCs/>
      </w:rPr>
      <w:tblPr/>
      <w:tcPr>
        <w:tcBorders>
          <w:top w:val="single" w:sz="18" w:space="0" w:color="D8AA87" w:themeColor="accent2" w:themeTint="BF"/>
        </w:tcBorders>
      </w:tcPr>
    </w:tblStylePr>
    <w:tblStylePr w:type="firstCol">
      <w:rPr>
        <w:b/>
        <w:bCs/>
      </w:rPr>
    </w:tblStylePr>
    <w:tblStylePr w:type="lastCol">
      <w:rPr>
        <w:b/>
        <w:bCs/>
      </w:rPr>
    </w:tblStylePr>
    <w:tblStylePr w:type="band1Vert">
      <w:tblPr/>
      <w:tcPr>
        <w:shd w:val="clear" w:color="auto" w:fill="E5C6AF" w:themeFill="accent2" w:themeFillTint="7F"/>
      </w:tcPr>
    </w:tblStylePr>
    <w:tblStylePr w:type="band1Horz">
      <w:tblPr/>
      <w:tcPr>
        <w:shd w:val="clear" w:color="auto" w:fill="E5C6AF" w:themeFill="accent2" w:themeFillTint="7F"/>
      </w:tcPr>
    </w:tblStylePr>
  </w:style>
  <w:style w:type="table" w:styleId="MediumGrid1-Accent3">
    <w:name w:val="Medium Grid 1 Accent 3"/>
    <w:basedOn w:val="TableNormal"/>
    <w:uiPriority w:val="67"/>
    <w:pPr>
      <w:spacing w:after="0" w:line="240" w:lineRule="auto"/>
    </w:pPr>
    <w:tblPr>
      <w:tblStyleRowBandSize w:val="1"/>
      <w:tblStyleColBandSize w:val="1"/>
      <w:tblBorders>
        <w:top w:val="single" w:sz="8" w:space="0" w:color="9E8E84" w:themeColor="accent3" w:themeTint="BF"/>
        <w:left w:val="single" w:sz="8" w:space="0" w:color="9E8E84" w:themeColor="accent3" w:themeTint="BF"/>
        <w:bottom w:val="single" w:sz="8" w:space="0" w:color="9E8E84" w:themeColor="accent3" w:themeTint="BF"/>
        <w:right w:val="single" w:sz="8" w:space="0" w:color="9E8E84" w:themeColor="accent3" w:themeTint="BF"/>
        <w:insideH w:val="single" w:sz="8" w:space="0" w:color="9E8E84" w:themeColor="accent3" w:themeTint="BF"/>
        <w:insideV w:val="single" w:sz="8" w:space="0" w:color="9E8E84" w:themeColor="accent3" w:themeTint="BF"/>
      </w:tblBorders>
    </w:tblPr>
    <w:tcPr>
      <w:shd w:val="clear" w:color="auto" w:fill="DFD9D6" w:themeFill="accent3" w:themeFillTint="3F"/>
    </w:tcPr>
    <w:tblStylePr w:type="firstRow">
      <w:rPr>
        <w:b/>
        <w:bCs/>
      </w:rPr>
    </w:tblStylePr>
    <w:tblStylePr w:type="lastRow">
      <w:rPr>
        <w:b/>
        <w:bCs/>
      </w:rPr>
      <w:tblPr/>
      <w:tcPr>
        <w:tcBorders>
          <w:top w:val="single" w:sz="18" w:space="0" w:color="9E8E84" w:themeColor="accent3" w:themeTint="BF"/>
        </w:tcBorders>
      </w:tcPr>
    </w:tblStylePr>
    <w:tblStylePr w:type="firstCol">
      <w:rPr>
        <w:b/>
        <w:bCs/>
      </w:rPr>
    </w:tblStylePr>
    <w:tblStylePr w:type="lastCol">
      <w:rPr>
        <w:b/>
        <w:bCs/>
      </w:rPr>
    </w:tblStylePr>
    <w:tblStylePr w:type="band1Vert">
      <w:tblPr/>
      <w:tcPr>
        <w:shd w:val="clear" w:color="auto" w:fill="BEB4AD" w:themeFill="accent3" w:themeFillTint="7F"/>
      </w:tcPr>
    </w:tblStylePr>
    <w:tblStylePr w:type="band1Horz">
      <w:tblPr/>
      <w:tcPr>
        <w:shd w:val="clear" w:color="auto" w:fill="BEB4AD" w:themeFill="accent3" w:themeFillTint="7F"/>
      </w:tcPr>
    </w:tblStylePr>
  </w:style>
  <w:style w:type="table" w:styleId="MediumGrid1-Accent4">
    <w:name w:val="Medium Grid 1 Accent 4"/>
    <w:basedOn w:val="TableNormal"/>
    <w:uiPriority w:val="67"/>
    <w:pPr>
      <w:spacing w:after="0" w:line="240" w:lineRule="auto"/>
    </w:pPr>
    <w:tblPr>
      <w:tblStyleRowBandSize w:val="1"/>
      <w:tblStyleColBandSize w:val="1"/>
      <w:tblBorders>
        <w:top w:val="single" w:sz="8" w:space="0" w:color="C6AD91" w:themeColor="accent4" w:themeTint="BF"/>
        <w:left w:val="single" w:sz="8" w:space="0" w:color="C6AD91" w:themeColor="accent4" w:themeTint="BF"/>
        <w:bottom w:val="single" w:sz="8" w:space="0" w:color="C6AD91" w:themeColor="accent4" w:themeTint="BF"/>
        <w:right w:val="single" w:sz="8" w:space="0" w:color="C6AD91" w:themeColor="accent4" w:themeTint="BF"/>
        <w:insideH w:val="single" w:sz="8" w:space="0" w:color="C6AD91" w:themeColor="accent4" w:themeTint="BF"/>
        <w:insideV w:val="single" w:sz="8" w:space="0" w:color="C6AD91" w:themeColor="accent4" w:themeTint="BF"/>
      </w:tblBorders>
    </w:tblPr>
    <w:tcPr>
      <w:shd w:val="clear" w:color="auto" w:fill="ECE4DA" w:themeFill="accent4" w:themeFillTint="3F"/>
    </w:tcPr>
    <w:tblStylePr w:type="firstRow">
      <w:rPr>
        <w:b/>
        <w:bCs/>
      </w:rPr>
    </w:tblStylePr>
    <w:tblStylePr w:type="lastRow">
      <w:rPr>
        <w:b/>
        <w:bCs/>
      </w:rPr>
      <w:tblPr/>
      <w:tcPr>
        <w:tcBorders>
          <w:top w:val="single" w:sz="18" w:space="0" w:color="C6AD91" w:themeColor="accent4" w:themeTint="BF"/>
        </w:tcBorders>
      </w:tcPr>
    </w:tblStylePr>
    <w:tblStylePr w:type="firstCol">
      <w:rPr>
        <w:b/>
        <w:bCs/>
      </w:rPr>
    </w:tblStylePr>
    <w:tblStylePr w:type="lastCol">
      <w:rPr>
        <w:b/>
        <w:bCs/>
      </w:rPr>
    </w:tblStylePr>
    <w:tblStylePr w:type="band1Vert">
      <w:tblPr/>
      <w:tcPr>
        <w:shd w:val="clear" w:color="auto" w:fill="D9C9B6" w:themeFill="accent4" w:themeFillTint="7F"/>
      </w:tcPr>
    </w:tblStylePr>
    <w:tblStylePr w:type="band1Horz">
      <w:tblPr/>
      <w:tcPr>
        <w:shd w:val="clear" w:color="auto" w:fill="D9C9B6" w:themeFill="accent4" w:themeFillTint="7F"/>
      </w:tcPr>
    </w:tblStylePr>
  </w:style>
  <w:style w:type="table" w:styleId="MediumGrid1-Accent5">
    <w:name w:val="Medium Grid 1 Accent 5"/>
    <w:basedOn w:val="TableNormal"/>
    <w:uiPriority w:val="67"/>
    <w:pPr>
      <w:spacing w:after="0" w:line="240" w:lineRule="auto"/>
    </w:pPr>
    <w:tblPr>
      <w:tblStyleRowBandSize w:val="1"/>
      <w:tblStyleColBandSize w:val="1"/>
      <w:tblBorders>
        <w:top w:val="single" w:sz="8" w:space="0" w:color="8B9B9E" w:themeColor="accent5" w:themeTint="BF"/>
        <w:left w:val="single" w:sz="8" w:space="0" w:color="8B9B9E" w:themeColor="accent5" w:themeTint="BF"/>
        <w:bottom w:val="single" w:sz="8" w:space="0" w:color="8B9B9E" w:themeColor="accent5" w:themeTint="BF"/>
        <w:right w:val="single" w:sz="8" w:space="0" w:color="8B9B9E" w:themeColor="accent5" w:themeTint="BF"/>
        <w:insideH w:val="single" w:sz="8" w:space="0" w:color="8B9B9E" w:themeColor="accent5" w:themeTint="BF"/>
        <w:insideV w:val="single" w:sz="8" w:space="0" w:color="8B9B9E" w:themeColor="accent5" w:themeTint="BF"/>
      </w:tblBorders>
    </w:tblPr>
    <w:tcPr>
      <w:shd w:val="clear" w:color="auto" w:fill="D8DEDF" w:themeFill="accent5" w:themeFillTint="3F"/>
    </w:tcPr>
    <w:tblStylePr w:type="firstRow">
      <w:rPr>
        <w:b/>
        <w:bCs/>
      </w:rPr>
    </w:tblStylePr>
    <w:tblStylePr w:type="lastRow">
      <w:rPr>
        <w:b/>
        <w:bCs/>
      </w:rPr>
      <w:tblPr/>
      <w:tcPr>
        <w:tcBorders>
          <w:top w:val="single" w:sz="18" w:space="0" w:color="8B9B9E" w:themeColor="accent5" w:themeTint="BF"/>
        </w:tcBorders>
      </w:tcPr>
    </w:tblStylePr>
    <w:tblStylePr w:type="firstCol">
      <w:rPr>
        <w:b/>
        <w:bCs/>
      </w:rPr>
    </w:tblStylePr>
    <w:tblStylePr w:type="lastCol">
      <w:rPr>
        <w:b/>
        <w:bCs/>
      </w:rPr>
    </w:tblStylePr>
    <w:tblStylePr w:type="band1Vert">
      <w:tblPr/>
      <w:tcPr>
        <w:shd w:val="clear" w:color="auto" w:fill="B1BCBE" w:themeFill="accent5" w:themeFillTint="7F"/>
      </w:tcPr>
    </w:tblStylePr>
    <w:tblStylePr w:type="band1Horz">
      <w:tblPr/>
      <w:tcPr>
        <w:shd w:val="clear" w:color="auto" w:fill="B1BCBE" w:themeFill="accent5" w:themeFillTint="7F"/>
      </w:tcPr>
    </w:tblStylePr>
  </w:style>
  <w:style w:type="table" w:styleId="MediumGrid1-Accent6">
    <w:name w:val="Medium Grid 1 Accent 6"/>
    <w:basedOn w:val="TableNormal"/>
    <w:uiPriority w:val="67"/>
    <w:pPr>
      <w:spacing w:after="0" w:line="240" w:lineRule="auto"/>
    </w:pPr>
    <w:tblPr>
      <w:tblStyleRowBandSize w:val="1"/>
      <w:tblStyleColBandSize w:val="1"/>
      <w:tblBorders>
        <w:top w:val="single" w:sz="8" w:space="0" w:color="B5AE93" w:themeColor="accent6" w:themeTint="BF"/>
        <w:left w:val="single" w:sz="8" w:space="0" w:color="B5AE93" w:themeColor="accent6" w:themeTint="BF"/>
        <w:bottom w:val="single" w:sz="8" w:space="0" w:color="B5AE93" w:themeColor="accent6" w:themeTint="BF"/>
        <w:right w:val="single" w:sz="8" w:space="0" w:color="B5AE93" w:themeColor="accent6" w:themeTint="BF"/>
        <w:insideH w:val="single" w:sz="8" w:space="0" w:color="B5AE93" w:themeColor="accent6" w:themeTint="BF"/>
        <w:insideV w:val="single" w:sz="8" w:space="0" w:color="B5AE93" w:themeColor="accent6" w:themeTint="BF"/>
      </w:tblBorders>
    </w:tblPr>
    <w:tcPr>
      <w:shd w:val="clear" w:color="auto" w:fill="E6E4DB" w:themeFill="accent6" w:themeFillTint="3F"/>
    </w:tcPr>
    <w:tblStylePr w:type="firstRow">
      <w:rPr>
        <w:b/>
        <w:bCs/>
      </w:rPr>
    </w:tblStylePr>
    <w:tblStylePr w:type="lastRow">
      <w:rPr>
        <w:b/>
        <w:bCs/>
      </w:rPr>
      <w:tblPr/>
      <w:tcPr>
        <w:tcBorders>
          <w:top w:val="single" w:sz="18" w:space="0" w:color="B5AE93" w:themeColor="accent6" w:themeTint="BF"/>
        </w:tcBorders>
      </w:tcPr>
    </w:tblStylePr>
    <w:tblStylePr w:type="firstCol">
      <w:rPr>
        <w:b/>
        <w:bCs/>
      </w:rPr>
    </w:tblStylePr>
    <w:tblStylePr w:type="lastCol">
      <w:rPr>
        <w:b/>
        <w:bCs/>
      </w:rPr>
    </w:tblStylePr>
    <w:tblStylePr w:type="band1Vert">
      <w:tblPr/>
      <w:tcPr>
        <w:shd w:val="clear" w:color="auto" w:fill="CEC9B7" w:themeFill="accent6" w:themeFillTint="7F"/>
      </w:tcPr>
    </w:tblStylePr>
    <w:tblStylePr w:type="band1Horz">
      <w:tblPr/>
      <w:tcPr>
        <w:shd w:val="clear" w:color="auto" w:fill="CEC9B7" w:themeFill="accent6" w:themeFillTint="7F"/>
      </w:tcPr>
    </w:tblStylePr>
  </w:style>
  <w:style w:type="table" w:styleId="MediumGrid2">
    <w:name w:val="Medium Grid 2"/>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E97AD" w:themeColor="accent1"/>
        <w:left w:val="single" w:sz="8" w:space="0" w:color="7E97AD" w:themeColor="accent1"/>
        <w:bottom w:val="single" w:sz="8" w:space="0" w:color="7E97AD" w:themeColor="accent1"/>
        <w:right w:val="single" w:sz="8" w:space="0" w:color="7E97AD" w:themeColor="accent1"/>
        <w:insideH w:val="single" w:sz="8" w:space="0" w:color="7E97AD" w:themeColor="accent1"/>
        <w:insideV w:val="single" w:sz="8" w:space="0" w:color="7E97AD" w:themeColor="accent1"/>
      </w:tblBorders>
    </w:tblPr>
    <w:tcPr>
      <w:shd w:val="clear" w:color="auto" w:fill="DFE5EA" w:themeFill="accent1" w:themeFillTint="3F"/>
    </w:tcPr>
    <w:tblStylePr w:type="firstRow">
      <w:rPr>
        <w:b/>
        <w:bCs/>
        <w:color w:val="000000" w:themeColor="text1"/>
      </w:rPr>
      <w:tblPr/>
      <w:tcPr>
        <w:shd w:val="clear" w:color="auto" w:fill="F2F4F6"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AEE" w:themeFill="accent1" w:themeFillTint="33"/>
      </w:tcPr>
    </w:tblStylePr>
    <w:tblStylePr w:type="band1Vert">
      <w:tblPr/>
      <w:tcPr>
        <w:shd w:val="clear" w:color="auto" w:fill="BECBD6" w:themeFill="accent1" w:themeFillTint="7F"/>
      </w:tcPr>
    </w:tblStylePr>
    <w:tblStylePr w:type="band1Horz">
      <w:tblPr/>
      <w:tcPr>
        <w:tcBorders>
          <w:insideH w:val="single" w:sz="6" w:space="0" w:color="7E97AD" w:themeColor="accent1"/>
          <w:insideV w:val="single" w:sz="6" w:space="0" w:color="7E97AD" w:themeColor="accent1"/>
        </w:tcBorders>
        <w:shd w:val="clear" w:color="auto" w:fill="BECBD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C8E60" w:themeColor="accent2"/>
        <w:left w:val="single" w:sz="8" w:space="0" w:color="CC8E60" w:themeColor="accent2"/>
        <w:bottom w:val="single" w:sz="8" w:space="0" w:color="CC8E60" w:themeColor="accent2"/>
        <w:right w:val="single" w:sz="8" w:space="0" w:color="CC8E60" w:themeColor="accent2"/>
        <w:insideH w:val="single" w:sz="8" w:space="0" w:color="CC8E60" w:themeColor="accent2"/>
        <w:insideV w:val="single" w:sz="8" w:space="0" w:color="CC8E60" w:themeColor="accent2"/>
      </w:tblBorders>
    </w:tblPr>
    <w:tcPr>
      <w:shd w:val="clear" w:color="auto" w:fill="F2E2D7" w:themeFill="accent2" w:themeFillTint="3F"/>
    </w:tcPr>
    <w:tblStylePr w:type="firstRow">
      <w:rPr>
        <w:b/>
        <w:bCs/>
        <w:color w:val="000000" w:themeColor="text1"/>
      </w:rPr>
      <w:tblPr/>
      <w:tcPr>
        <w:shd w:val="clear" w:color="auto" w:fill="FAF3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4E8DF" w:themeFill="accent2" w:themeFillTint="33"/>
      </w:tcPr>
    </w:tblStylePr>
    <w:tblStylePr w:type="band1Vert">
      <w:tblPr/>
      <w:tcPr>
        <w:shd w:val="clear" w:color="auto" w:fill="E5C6AF" w:themeFill="accent2" w:themeFillTint="7F"/>
      </w:tcPr>
    </w:tblStylePr>
    <w:tblStylePr w:type="band1Horz">
      <w:tblPr/>
      <w:tcPr>
        <w:tcBorders>
          <w:insideH w:val="single" w:sz="6" w:space="0" w:color="CC8E60" w:themeColor="accent2"/>
          <w:insideV w:val="single" w:sz="6" w:space="0" w:color="CC8E60" w:themeColor="accent2"/>
        </w:tcBorders>
        <w:shd w:val="clear" w:color="auto" w:fill="E5C6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A6A60" w:themeColor="accent3"/>
        <w:left w:val="single" w:sz="8" w:space="0" w:color="7A6A60" w:themeColor="accent3"/>
        <w:bottom w:val="single" w:sz="8" w:space="0" w:color="7A6A60" w:themeColor="accent3"/>
        <w:right w:val="single" w:sz="8" w:space="0" w:color="7A6A60" w:themeColor="accent3"/>
        <w:insideH w:val="single" w:sz="8" w:space="0" w:color="7A6A60" w:themeColor="accent3"/>
        <w:insideV w:val="single" w:sz="8" w:space="0" w:color="7A6A60" w:themeColor="accent3"/>
      </w:tblBorders>
    </w:tblPr>
    <w:tcPr>
      <w:shd w:val="clear" w:color="auto" w:fill="DFD9D6" w:themeFill="accent3" w:themeFillTint="3F"/>
    </w:tcPr>
    <w:tblStylePr w:type="firstRow">
      <w:rPr>
        <w:b/>
        <w:bCs/>
        <w:color w:val="000000" w:themeColor="text1"/>
      </w:rPr>
      <w:tblPr/>
      <w:tcPr>
        <w:shd w:val="clear" w:color="auto" w:fill="F2F0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0DE" w:themeFill="accent3" w:themeFillTint="33"/>
      </w:tcPr>
    </w:tblStylePr>
    <w:tblStylePr w:type="band1Vert">
      <w:tblPr/>
      <w:tcPr>
        <w:shd w:val="clear" w:color="auto" w:fill="BEB4AD" w:themeFill="accent3" w:themeFillTint="7F"/>
      </w:tcPr>
    </w:tblStylePr>
    <w:tblStylePr w:type="band1Horz">
      <w:tblPr/>
      <w:tcPr>
        <w:tcBorders>
          <w:insideH w:val="single" w:sz="6" w:space="0" w:color="7A6A60" w:themeColor="accent3"/>
          <w:insideV w:val="single" w:sz="6" w:space="0" w:color="7A6A60" w:themeColor="accent3"/>
        </w:tcBorders>
        <w:shd w:val="clear" w:color="auto" w:fill="BEB4AD"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4936D" w:themeColor="accent4"/>
        <w:left w:val="single" w:sz="8" w:space="0" w:color="B4936D" w:themeColor="accent4"/>
        <w:bottom w:val="single" w:sz="8" w:space="0" w:color="B4936D" w:themeColor="accent4"/>
        <w:right w:val="single" w:sz="8" w:space="0" w:color="B4936D" w:themeColor="accent4"/>
        <w:insideH w:val="single" w:sz="8" w:space="0" w:color="B4936D" w:themeColor="accent4"/>
        <w:insideV w:val="single" w:sz="8" w:space="0" w:color="B4936D" w:themeColor="accent4"/>
      </w:tblBorders>
    </w:tblPr>
    <w:tcPr>
      <w:shd w:val="clear" w:color="auto" w:fill="ECE4DA" w:themeFill="accent4" w:themeFillTint="3F"/>
    </w:tcPr>
    <w:tblStylePr w:type="firstRow">
      <w:rPr>
        <w:b/>
        <w:bCs/>
        <w:color w:val="000000" w:themeColor="text1"/>
      </w:rPr>
      <w:tblPr/>
      <w:tcPr>
        <w:shd w:val="clear" w:color="auto" w:fill="F7F4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E9E1" w:themeFill="accent4" w:themeFillTint="33"/>
      </w:tcPr>
    </w:tblStylePr>
    <w:tblStylePr w:type="band1Vert">
      <w:tblPr/>
      <w:tcPr>
        <w:shd w:val="clear" w:color="auto" w:fill="D9C9B6" w:themeFill="accent4" w:themeFillTint="7F"/>
      </w:tcPr>
    </w:tblStylePr>
    <w:tblStylePr w:type="band1Horz">
      <w:tblPr/>
      <w:tcPr>
        <w:tcBorders>
          <w:insideH w:val="single" w:sz="6" w:space="0" w:color="B4936D" w:themeColor="accent4"/>
          <w:insideV w:val="single" w:sz="6" w:space="0" w:color="B4936D" w:themeColor="accent4"/>
        </w:tcBorders>
        <w:shd w:val="clear" w:color="auto" w:fill="D9C9B6"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7787B" w:themeColor="accent5"/>
        <w:left w:val="single" w:sz="8" w:space="0" w:color="67787B" w:themeColor="accent5"/>
        <w:bottom w:val="single" w:sz="8" w:space="0" w:color="67787B" w:themeColor="accent5"/>
        <w:right w:val="single" w:sz="8" w:space="0" w:color="67787B" w:themeColor="accent5"/>
        <w:insideH w:val="single" w:sz="8" w:space="0" w:color="67787B" w:themeColor="accent5"/>
        <w:insideV w:val="single" w:sz="8" w:space="0" w:color="67787B" w:themeColor="accent5"/>
      </w:tblBorders>
    </w:tblPr>
    <w:tcPr>
      <w:shd w:val="clear" w:color="auto" w:fill="D8DEDF" w:themeFill="accent5" w:themeFillTint="3F"/>
    </w:tcPr>
    <w:tblStylePr w:type="firstRow">
      <w:rPr>
        <w:b/>
        <w:bCs/>
        <w:color w:val="000000" w:themeColor="text1"/>
      </w:rPr>
      <w:tblPr/>
      <w:tcPr>
        <w:shd w:val="clear" w:color="auto" w:fill="EFF1F2"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E4E5" w:themeFill="accent5" w:themeFillTint="33"/>
      </w:tcPr>
    </w:tblStylePr>
    <w:tblStylePr w:type="band1Vert">
      <w:tblPr/>
      <w:tcPr>
        <w:shd w:val="clear" w:color="auto" w:fill="B1BCBE" w:themeFill="accent5" w:themeFillTint="7F"/>
      </w:tcPr>
    </w:tblStylePr>
    <w:tblStylePr w:type="band1Horz">
      <w:tblPr/>
      <w:tcPr>
        <w:tcBorders>
          <w:insideH w:val="single" w:sz="6" w:space="0" w:color="67787B" w:themeColor="accent5"/>
          <w:insideV w:val="single" w:sz="6" w:space="0" w:color="67787B" w:themeColor="accent5"/>
        </w:tcBorders>
        <w:shd w:val="clear" w:color="auto" w:fill="B1BCB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D936F" w:themeColor="accent6"/>
        <w:left w:val="single" w:sz="8" w:space="0" w:color="9D936F" w:themeColor="accent6"/>
        <w:bottom w:val="single" w:sz="8" w:space="0" w:color="9D936F" w:themeColor="accent6"/>
        <w:right w:val="single" w:sz="8" w:space="0" w:color="9D936F" w:themeColor="accent6"/>
        <w:insideH w:val="single" w:sz="8" w:space="0" w:color="9D936F" w:themeColor="accent6"/>
        <w:insideV w:val="single" w:sz="8" w:space="0" w:color="9D936F" w:themeColor="accent6"/>
      </w:tblBorders>
    </w:tblPr>
    <w:tcPr>
      <w:shd w:val="clear" w:color="auto" w:fill="E6E4DB" w:themeFill="accent6" w:themeFillTint="3F"/>
    </w:tcPr>
    <w:tblStylePr w:type="firstRow">
      <w:rPr>
        <w:b/>
        <w:bCs/>
        <w:color w:val="000000" w:themeColor="text1"/>
      </w:rPr>
      <w:tblPr/>
      <w:tcPr>
        <w:shd w:val="clear" w:color="auto" w:fill="F5F4F0"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E9E2" w:themeFill="accent6" w:themeFillTint="33"/>
      </w:tcPr>
    </w:tblStylePr>
    <w:tblStylePr w:type="band1Vert">
      <w:tblPr/>
      <w:tcPr>
        <w:shd w:val="clear" w:color="auto" w:fill="CEC9B7" w:themeFill="accent6" w:themeFillTint="7F"/>
      </w:tcPr>
    </w:tblStylePr>
    <w:tblStylePr w:type="band1Horz">
      <w:tblPr/>
      <w:tcPr>
        <w:tcBorders>
          <w:insideH w:val="single" w:sz="6" w:space="0" w:color="9D936F" w:themeColor="accent6"/>
          <w:insideV w:val="single" w:sz="6" w:space="0" w:color="9D936F" w:themeColor="accent6"/>
        </w:tcBorders>
        <w:shd w:val="clear" w:color="auto" w:fill="CEC9B7"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E5EA"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E97A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E97A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E97A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E97A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ECBD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ECBD6" w:themeFill="accent1" w:themeFillTint="7F"/>
      </w:tcPr>
    </w:tblStylePr>
  </w:style>
  <w:style w:type="table" w:styleId="MediumGrid3-Accent2">
    <w:name w:val="Medium Grid 3 Accent 2"/>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2E2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C8E6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C8E6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C8E6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C8E6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5C6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5C6AF" w:themeFill="accent2" w:themeFillTint="7F"/>
      </w:tcPr>
    </w:tblStylePr>
  </w:style>
  <w:style w:type="table" w:styleId="MediumGrid3-Accent3">
    <w:name w:val="Medium Grid 3 Accent 3"/>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9D6"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6A6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6A6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6A6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6A6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EB4AD"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EB4AD" w:themeFill="accent3" w:themeFillTint="7F"/>
      </w:tcPr>
    </w:tblStylePr>
  </w:style>
  <w:style w:type="table" w:styleId="MediumGrid3-Accent4">
    <w:name w:val="Medium Grid 3 Accent 4"/>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4D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4936D"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4936D"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4936D"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4936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C9B6"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C9B6" w:themeFill="accent4" w:themeFillTint="7F"/>
      </w:tcPr>
    </w:tblStylePr>
  </w:style>
  <w:style w:type="table" w:styleId="MediumGrid3-Accent5">
    <w:name w:val="Medium Grid 3 Accent 5"/>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DED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7787B"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7787B"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7787B"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7787B"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1BCB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1BCBE" w:themeFill="accent5" w:themeFillTint="7F"/>
      </w:tcPr>
    </w:tblStylePr>
  </w:style>
  <w:style w:type="table" w:styleId="MediumGrid3-Accent6">
    <w:name w:val="Medium Grid 3 Accent 6"/>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4DB"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D936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D936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D936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D936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EC9B7"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EC9B7" w:themeFill="accent6" w:themeFillTint="7F"/>
      </w:tcPr>
    </w:tblStylePr>
  </w:style>
  <w:style w:type="table" w:styleId="MediumList1">
    <w:name w:val="Medium List 1"/>
    <w:basedOn w:val="TableNormal"/>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2123"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pPr>
      <w:spacing w:after="0" w:line="240" w:lineRule="auto"/>
    </w:pPr>
    <w:rPr>
      <w:color w:val="000000" w:themeColor="text1"/>
    </w:rPr>
    <w:tblPr>
      <w:tblStyleRowBandSize w:val="1"/>
      <w:tblStyleColBandSize w:val="1"/>
      <w:tblBorders>
        <w:top w:val="single" w:sz="8" w:space="0" w:color="7E97AD" w:themeColor="accent1"/>
        <w:bottom w:val="single" w:sz="8" w:space="0" w:color="7E97AD" w:themeColor="accent1"/>
      </w:tblBorders>
    </w:tblPr>
    <w:tblStylePr w:type="firstRow">
      <w:rPr>
        <w:rFonts w:asciiTheme="majorHAnsi" w:eastAsiaTheme="majorEastAsia" w:hAnsiTheme="majorHAnsi" w:cstheme="majorBidi"/>
      </w:rPr>
      <w:tblPr/>
      <w:tcPr>
        <w:tcBorders>
          <w:top w:val="nil"/>
          <w:bottom w:val="single" w:sz="8" w:space="0" w:color="7E97AD" w:themeColor="accent1"/>
        </w:tcBorders>
      </w:tcPr>
    </w:tblStylePr>
    <w:tblStylePr w:type="lastRow">
      <w:rPr>
        <w:b/>
        <w:bCs/>
        <w:color w:val="1F2123" w:themeColor="text2"/>
      </w:rPr>
      <w:tblPr/>
      <w:tcPr>
        <w:tcBorders>
          <w:top w:val="single" w:sz="8" w:space="0" w:color="7E97AD" w:themeColor="accent1"/>
          <w:bottom w:val="single" w:sz="8" w:space="0" w:color="7E97AD" w:themeColor="accent1"/>
        </w:tcBorders>
      </w:tcPr>
    </w:tblStylePr>
    <w:tblStylePr w:type="firstCol">
      <w:rPr>
        <w:b/>
        <w:bCs/>
      </w:rPr>
    </w:tblStylePr>
    <w:tblStylePr w:type="lastCol">
      <w:rPr>
        <w:b/>
        <w:bCs/>
      </w:rPr>
      <w:tblPr/>
      <w:tcPr>
        <w:tcBorders>
          <w:top w:val="single" w:sz="8" w:space="0" w:color="7E97AD" w:themeColor="accent1"/>
          <w:bottom w:val="single" w:sz="8" w:space="0" w:color="7E97AD" w:themeColor="accent1"/>
        </w:tcBorders>
      </w:tcPr>
    </w:tblStylePr>
    <w:tblStylePr w:type="band1Vert">
      <w:tblPr/>
      <w:tcPr>
        <w:shd w:val="clear" w:color="auto" w:fill="DFE5EA" w:themeFill="accent1" w:themeFillTint="3F"/>
      </w:tcPr>
    </w:tblStylePr>
    <w:tblStylePr w:type="band1Horz">
      <w:tblPr/>
      <w:tcPr>
        <w:shd w:val="clear" w:color="auto" w:fill="DFE5EA" w:themeFill="accent1" w:themeFillTint="3F"/>
      </w:tcPr>
    </w:tblStylePr>
  </w:style>
  <w:style w:type="table" w:styleId="MediumList1-Accent2">
    <w:name w:val="Medium List 1 Accent 2"/>
    <w:basedOn w:val="TableNormal"/>
    <w:uiPriority w:val="65"/>
    <w:pPr>
      <w:spacing w:after="0" w:line="240" w:lineRule="auto"/>
    </w:pPr>
    <w:rPr>
      <w:color w:val="000000" w:themeColor="text1"/>
    </w:rPr>
    <w:tblPr>
      <w:tblStyleRowBandSize w:val="1"/>
      <w:tblStyleColBandSize w:val="1"/>
      <w:tblBorders>
        <w:top w:val="single" w:sz="8" w:space="0" w:color="CC8E60" w:themeColor="accent2"/>
        <w:bottom w:val="single" w:sz="8" w:space="0" w:color="CC8E60" w:themeColor="accent2"/>
      </w:tblBorders>
    </w:tblPr>
    <w:tblStylePr w:type="firstRow">
      <w:rPr>
        <w:rFonts w:asciiTheme="majorHAnsi" w:eastAsiaTheme="majorEastAsia" w:hAnsiTheme="majorHAnsi" w:cstheme="majorBidi"/>
      </w:rPr>
      <w:tblPr/>
      <w:tcPr>
        <w:tcBorders>
          <w:top w:val="nil"/>
          <w:bottom w:val="single" w:sz="8" w:space="0" w:color="CC8E60" w:themeColor="accent2"/>
        </w:tcBorders>
      </w:tcPr>
    </w:tblStylePr>
    <w:tblStylePr w:type="lastRow">
      <w:rPr>
        <w:b/>
        <w:bCs/>
        <w:color w:val="1F2123" w:themeColor="text2"/>
      </w:rPr>
      <w:tblPr/>
      <w:tcPr>
        <w:tcBorders>
          <w:top w:val="single" w:sz="8" w:space="0" w:color="CC8E60" w:themeColor="accent2"/>
          <w:bottom w:val="single" w:sz="8" w:space="0" w:color="CC8E60" w:themeColor="accent2"/>
        </w:tcBorders>
      </w:tcPr>
    </w:tblStylePr>
    <w:tblStylePr w:type="firstCol">
      <w:rPr>
        <w:b/>
        <w:bCs/>
      </w:rPr>
    </w:tblStylePr>
    <w:tblStylePr w:type="lastCol">
      <w:rPr>
        <w:b/>
        <w:bCs/>
      </w:rPr>
      <w:tblPr/>
      <w:tcPr>
        <w:tcBorders>
          <w:top w:val="single" w:sz="8" w:space="0" w:color="CC8E60" w:themeColor="accent2"/>
          <w:bottom w:val="single" w:sz="8" w:space="0" w:color="CC8E60" w:themeColor="accent2"/>
        </w:tcBorders>
      </w:tcPr>
    </w:tblStylePr>
    <w:tblStylePr w:type="band1Vert">
      <w:tblPr/>
      <w:tcPr>
        <w:shd w:val="clear" w:color="auto" w:fill="F2E2D7" w:themeFill="accent2" w:themeFillTint="3F"/>
      </w:tcPr>
    </w:tblStylePr>
    <w:tblStylePr w:type="band1Horz">
      <w:tblPr/>
      <w:tcPr>
        <w:shd w:val="clear" w:color="auto" w:fill="F2E2D7" w:themeFill="accent2" w:themeFillTint="3F"/>
      </w:tcPr>
    </w:tblStylePr>
  </w:style>
  <w:style w:type="table" w:styleId="MediumList1-Accent3">
    <w:name w:val="Medium List 1 Accent 3"/>
    <w:basedOn w:val="TableNormal"/>
    <w:uiPriority w:val="65"/>
    <w:pPr>
      <w:spacing w:after="0" w:line="240" w:lineRule="auto"/>
    </w:pPr>
    <w:rPr>
      <w:color w:val="000000" w:themeColor="text1"/>
    </w:rPr>
    <w:tblPr>
      <w:tblStyleRowBandSize w:val="1"/>
      <w:tblStyleColBandSize w:val="1"/>
      <w:tblBorders>
        <w:top w:val="single" w:sz="8" w:space="0" w:color="7A6A60" w:themeColor="accent3"/>
        <w:bottom w:val="single" w:sz="8" w:space="0" w:color="7A6A60" w:themeColor="accent3"/>
      </w:tblBorders>
    </w:tblPr>
    <w:tblStylePr w:type="firstRow">
      <w:rPr>
        <w:rFonts w:asciiTheme="majorHAnsi" w:eastAsiaTheme="majorEastAsia" w:hAnsiTheme="majorHAnsi" w:cstheme="majorBidi"/>
      </w:rPr>
      <w:tblPr/>
      <w:tcPr>
        <w:tcBorders>
          <w:top w:val="nil"/>
          <w:bottom w:val="single" w:sz="8" w:space="0" w:color="7A6A60" w:themeColor="accent3"/>
        </w:tcBorders>
      </w:tcPr>
    </w:tblStylePr>
    <w:tblStylePr w:type="lastRow">
      <w:rPr>
        <w:b/>
        <w:bCs/>
        <w:color w:val="1F2123" w:themeColor="text2"/>
      </w:rPr>
      <w:tblPr/>
      <w:tcPr>
        <w:tcBorders>
          <w:top w:val="single" w:sz="8" w:space="0" w:color="7A6A60" w:themeColor="accent3"/>
          <w:bottom w:val="single" w:sz="8" w:space="0" w:color="7A6A60" w:themeColor="accent3"/>
        </w:tcBorders>
      </w:tcPr>
    </w:tblStylePr>
    <w:tblStylePr w:type="firstCol">
      <w:rPr>
        <w:b/>
        <w:bCs/>
      </w:rPr>
    </w:tblStylePr>
    <w:tblStylePr w:type="lastCol">
      <w:rPr>
        <w:b/>
        <w:bCs/>
      </w:rPr>
      <w:tblPr/>
      <w:tcPr>
        <w:tcBorders>
          <w:top w:val="single" w:sz="8" w:space="0" w:color="7A6A60" w:themeColor="accent3"/>
          <w:bottom w:val="single" w:sz="8" w:space="0" w:color="7A6A60" w:themeColor="accent3"/>
        </w:tcBorders>
      </w:tcPr>
    </w:tblStylePr>
    <w:tblStylePr w:type="band1Vert">
      <w:tblPr/>
      <w:tcPr>
        <w:shd w:val="clear" w:color="auto" w:fill="DFD9D6" w:themeFill="accent3" w:themeFillTint="3F"/>
      </w:tcPr>
    </w:tblStylePr>
    <w:tblStylePr w:type="band1Horz">
      <w:tblPr/>
      <w:tcPr>
        <w:shd w:val="clear" w:color="auto" w:fill="DFD9D6" w:themeFill="accent3" w:themeFillTint="3F"/>
      </w:tcPr>
    </w:tblStylePr>
  </w:style>
  <w:style w:type="table" w:styleId="MediumList1-Accent4">
    <w:name w:val="Medium List 1 Accent 4"/>
    <w:basedOn w:val="TableNormal"/>
    <w:uiPriority w:val="65"/>
    <w:pPr>
      <w:spacing w:after="0" w:line="240" w:lineRule="auto"/>
    </w:pPr>
    <w:rPr>
      <w:color w:val="000000" w:themeColor="text1"/>
    </w:rPr>
    <w:tblPr>
      <w:tblStyleRowBandSize w:val="1"/>
      <w:tblStyleColBandSize w:val="1"/>
      <w:tblBorders>
        <w:top w:val="single" w:sz="8" w:space="0" w:color="B4936D" w:themeColor="accent4"/>
        <w:bottom w:val="single" w:sz="8" w:space="0" w:color="B4936D" w:themeColor="accent4"/>
      </w:tblBorders>
    </w:tblPr>
    <w:tblStylePr w:type="firstRow">
      <w:rPr>
        <w:rFonts w:asciiTheme="majorHAnsi" w:eastAsiaTheme="majorEastAsia" w:hAnsiTheme="majorHAnsi" w:cstheme="majorBidi"/>
      </w:rPr>
      <w:tblPr/>
      <w:tcPr>
        <w:tcBorders>
          <w:top w:val="nil"/>
          <w:bottom w:val="single" w:sz="8" w:space="0" w:color="B4936D" w:themeColor="accent4"/>
        </w:tcBorders>
      </w:tcPr>
    </w:tblStylePr>
    <w:tblStylePr w:type="lastRow">
      <w:rPr>
        <w:b/>
        <w:bCs/>
        <w:color w:val="1F2123" w:themeColor="text2"/>
      </w:rPr>
      <w:tblPr/>
      <w:tcPr>
        <w:tcBorders>
          <w:top w:val="single" w:sz="8" w:space="0" w:color="B4936D" w:themeColor="accent4"/>
          <w:bottom w:val="single" w:sz="8" w:space="0" w:color="B4936D" w:themeColor="accent4"/>
        </w:tcBorders>
      </w:tcPr>
    </w:tblStylePr>
    <w:tblStylePr w:type="firstCol">
      <w:rPr>
        <w:b/>
        <w:bCs/>
      </w:rPr>
    </w:tblStylePr>
    <w:tblStylePr w:type="lastCol">
      <w:rPr>
        <w:b/>
        <w:bCs/>
      </w:rPr>
      <w:tblPr/>
      <w:tcPr>
        <w:tcBorders>
          <w:top w:val="single" w:sz="8" w:space="0" w:color="B4936D" w:themeColor="accent4"/>
          <w:bottom w:val="single" w:sz="8" w:space="0" w:color="B4936D" w:themeColor="accent4"/>
        </w:tcBorders>
      </w:tcPr>
    </w:tblStylePr>
    <w:tblStylePr w:type="band1Vert">
      <w:tblPr/>
      <w:tcPr>
        <w:shd w:val="clear" w:color="auto" w:fill="ECE4DA" w:themeFill="accent4" w:themeFillTint="3F"/>
      </w:tcPr>
    </w:tblStylePr>
    <w:tblStylePr w:type="band1Horz">
      <w:tblPr/>
      <w:tcPr>
        <w:shd w:val="clear" w:color="auto" w:fill="ECE4DA" w:themeFill="accent4" w:themeFillTint="3F"/>
      </w:tcPr>
    </w:tblStylePr>
  </w:style>
  <w:style w:type="table" w:styleId="MediumList1-Accent5">
    <w:name w:val="Medium List 1 Accent 5"/>
    <w:basedOn w:val="TableNormal"/>
    <w:uiPriority w:val="65"/>
    <w:pPr>
      <w:spacing w:after="0" w:line="240" w:lineRule="auto"/>
    </w:pPr>
    <w:rPr>
      <w:color w:val="000000" w:themeColor="text1"/>
    </w:rPr>
    <w:tblPr>
      <w:tblStyleRowBandSize w:val="1"/>
      <w:tblStyleColBandSize w:val="1"/>
      <w:tblBorders>
        <w:top w:val="single" w:sz="8" w:space="0" w:color="67787B" w:themeColor="accent5"/>
        <w:bottom w:val="single" w:sz="8" w:space="0" w:color="67787B" w:themeColor="accent5"/>
      </w:tblBorders>
    </w:tblPr>
    <w:tblStylePr w:type="firstRow">
      <w:rPr>
        <w:rFonts w:asciiTheme="majorHAnsi" w:eastAsiaTheme="majorEastAsia" w:hAnsiTheme="majorHAnsi" w:cstheme="majorBidi"/>
      </w:rPr>
      <w:tblPr/>
      <w:tcPr>
        <w:tcBorders>
          <w:top w:val="nil"/>
          <w:bottom w:val="single" w:sz="8" w:space="0" w:color="67787B" w:themeColor="accent5"/>
        </w:tcBorders>
      </w:tcPr>
    </w:tblStylePr>
    <w:tblStylePr w:type="lastRow">
      <w:rPr>
        <w:b/>
        <w:bCs/>
        <w:color w:val="1F2123" w:themeColor="text2"/>
      </w:rPr>
      <w:tblPr/>
      <w:tcPr>
        <w:tcBorders>
          <w:top w:val="single" w:sz="8" w:space="0" w:color="67787B" w:themeColor="accent5"/>
          <w:bottom w:val="single" w:sz="8" w:space="0" w:color="67787B" w:themeColor="accent5"/>
        </w:tcBorders>
      </w:tcPr>
    </w:tblStylePr>
    <w:tblStylePr w:type="firstCol">
      <w:rPr>
        <w:b/>
        <w:bCs/>
      </w:rPr>
    </w:tblStylePr>
    <w:tblStylePr w:type="lastCol">
      <w:rPr>
        <w:b/>
        <w:bCs/>
      </w:rPr>
      <w:tblPr/>
      <w:tcPr>
        <w:tcBorders>
          <w:top w:val="single" w:sz="8" w:space="0" w:color="67787B" w:themeColor="accent5"/>
          <w:bottom w:val="single" w:sz="8" w:space="0" w:color="67787B" w:themeColor="accent5"/>
        </w:tcBorders>
      </w:tcPr>
    </w:tblStylePr>
    <w:tblStylePr w:type="band1Vert">
      <w:tblPr/>
      <w:tcPr>
        <w:shd w:val="clear" w:color="auto" w:fill="D8DEDF" w:themeFill="accent5" w:themeFillTint="3F"/>
      </w:tcPr>
    </w:tblStylePr>
    <w:tblStylePr w:type="band1Horz">
      <w:tblPr/>
      <w:tcPr>
        <w:shd w:val="clear" w:color="auto" w:fill="D8DEDF" w:themeFill="accent5" w:themeFillTint="3F"/>
      </w:tcPr>
    </w:tblStylePr>
  </w:style>
  <w:style w:type="table" w:styleId="MediumList1-Accent6">
    <w:name w:val="Medium List 1 Accent 6"/>
    <w:basedOn w:val="TableNormal"/>
    <w:uiPriority w:val="65"/>
    <w:pPr>
      <w:spacing w:after="0" w:line="240" w:lineRule="auto"/>
    </w:pPr>
    <w:rPr>
      <w:color w:val="000000" w:themeColor="text1"/>
    </w:rPr>
    <w:tblPr>
      <w:tblStyleRowBandSize w:val="1"/>
      <w:tblStyleColBandSize w:val="1"/>
      <w:tblBorders>
        <w:top w:val="single" w:sz="8" w:space="0" w:color="9D936F" w:themeColor="accent6"/>
        <w:bottom w:val="single" w:sz="8" w:space="0" w:color="9D936F" w:themeColor="accent6"/>
      </w:tblBorders>
    </w:tblPr>
    <w:tblStylePr w:type="firstRow">
      <w:rPr>
        <w:rFonts w:asciiTheme="majorHAnsi" w:eastAsiaTheme="majorEastAsia" w:hAnsiTheme="majorHAnsi" w:cstheme="majorBidi"/>
      </w:rPr>
      <w:tblPr/>
      <w:tcPr>
        <w:tcBorders>
          <w:top w:val="nil"/>
          <w:bottom w:val="single" w:sz="8" w:space="0" w:color="9D936F" w:themeColor="accent6"/>
        </w:tcBorders>
      </w:tcPr>
    </w:tblStylePr>
    <w:tblStylePr w:type="lastRow">
      <w:rPr>
        <w:b/>
        <w:bCs/>
        <w:color w:val="1F2123" w:themeColor="text2"/>
      </w:rPr>
      <w:tblPr/>
      <w:tcPr>
        <w:tcBorders>
          <w:top w:val="single" w:sz="8" w:space="0" w:color="9D936F" w:themeColor="accent6"/>
          <w:bottom w:val="single" w:sz="8" w:space="0" w:color="9D936F" w:themeColor="accent6"/>
        </w:tcBorders>
      </w:tcPr>
    </w:tblStylePr>
    <w:tblStylePr w:type="firstCol">
      <w:rPr>
        <w:b/>
        <w:bCs/>
      </w:rPr>
    </w:tblStylePr>
    <w:tblStylePr w:type="lastCol">
      <w:rPr>
        <w:b/>
        <w:bCs/>
      </w:rPr>
      <w:tblPr/>
      <w:tcPr>
        <w:tcBorders>
          <w:top w:val="single" w:sz="8" w:space="0" w:color="9D936F" w:themeColor="accent6"/>
          <w:bottom w:val="single" w:sz="8" w:space="0" w:color="9D936F" w:themeColor="accent6"/>
        </w:tcBorders>
      </w:tcPr>
    </w:tblStylePr>
    <w:tblStylePr w:type="band1Vert">
      <w:tblPr/>
      <w:tcPr>
        <w:shd w:val="clear" w:color="auto" w:fill="E6E4DB" w:themeFill="accent6" w:themeFillTint="3F"/>
      </w:tcPr>
    </w:tblStylePr>
    <w:tblStylePr w:type="band1Horz">
      <w:tblPr/>
      <w:tcPr>
        <w:shd w:val="clear" w:color="auto" w:fill="E6E4DB" w:themeFill="accent6" w:themeFillTint="3F"/>
      </w:tcPr>
    </w:tblStylePr>
  </w:style>
  <w:style w:type="table" w:styleId="MediumList2">
    <w:name w:val="Medium List 2"/>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E97AD" w:themeColor="accent1"/>
        <w:left w:val="single" w:sz="8" w:space="0" w:color="7E97AD" w:themeColor="accent1"/>
        <w:bottom w:val="single" w:sz="8" w:space="0" w:color="7E97AD" w:themeColor="accent1"/>
        <w:right w:val="single" w:sz="8" w:space="0" w:color="7E97AD" w:themeColor="accent1"/>
      </w:tblBorders>
    </w:tblPr>
    <w:tblStylePr w:type="firstRow">
      <w:rPr>
        <w:sz w:val="24"/>
        <w:szCs w:val="24"/>
      </w:rPr>
      <w:tblPr/>
      <w:tcPr>
        <w:tcBorders>
          <w:top w:val="nil"/>
          <w:left w:val="nil"/>
          <w:bottom w:val="single" w:sz="24" w:space="0" w:color="7E97AD" w:themeColor="accent1"/>
          <w:right w:val="nil"/>
          <w:insideH w:val="nil"/>
          <w:insideV w:val="nil"/>
        </w:tcBorders>
        <w:shd w:val="clear" w:color="auto" w:fill="FFFFFF" w:themeFill="background1"/>
      </w:tcPr>
    </w:tblStylePr>
    <w:tblStylePr w:type="lastRow">
      <w:tblPr/>
      <w:tcPr>
        <w:tcBorders>
          <w:top w:val="single" w:sz="8" w:space="0" w:color="7E97A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E97AD" w:themeColor="accent1"/>
          <w:insideH w:val="nil"/>
          <w:insideV w:val="nil"/>
        </w:tcBorders>
        <w:shd w:val="clear" w:color="auto" w:fill="FFFFFF" w:themeFill="background1"/>
      </w:tcPr>
    </w:tblStylePr>
    <w:tblStylePr w:type="lastCol">
      <w:tblPr/>
      <w:tcPr>
        <w:tcBorders>
          <w:top w:val="nil"/>
          <w:left w:val="single" w:sz="8" w:space="0" w:color="7E97A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E5EA" w:themeFill="accent1" w:themeFillTint="3F"/>
      </w:tcPr>
    </w:tblStylePr>
    <w:tblStylePr w:type="band1Horz">
      <w:tblPr/>
      <w:tcPr>
        <w:tcBorders>
          <w:top w:val="nil"/>
          <w:bottom w:val="nil"/>
          <w:insideH w:val="nil"/>
          <w:insideV w:val="nil"/>
        </w:tcBorders>
        <w:shd w:val="clear" w:color="auto" w:fill="DFE5EA"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C8E60" w:themeColor="accent2"/>
        <w:left w:val="single" w:sz="8" w:space="0" w:color="CC8E60" w:themeColor="accent2"/>
        <w:bottom w:val="single" w:sz="8" w:space="0" w:color="CC8E60" w:themeColor="accent2"/>
        <w:right w:val="single" w:sz="8" w:space="0" w:color="CC8E60" w:themeColor="accent2"/>
      </w:tblBorders>
    </w:tblPr>
    <w:tblStylePr w:type="firstRow">
      <w:rPr>
        <w:sz w:val="24"/>
        <w:szCs w:val="24"/>
      </w:rPr>
      <w:tblPr/>
      <w:tcPr>
        <w:tcBorders>
          <w:top w:val="nil"/>
          <w:left w:val="nil"/>
          <w:bottom w:val="single" w:sz="24" w:space="0" w:color="CC8E60" w:themeColor="accent2"/>
          <w:right w:val="nil"/>
          <w:insideH w:val="nil"/>
          <w:insideV w:val="nil"/>
        </w:tcBorders>
        <w:shd w:val="clear" w:color="auto" w:fill="FFFFFF" w:themeFill="background1"/>
      </w:tcPr>
    </w:tblStylePr>
    <w:tblStylePr w:type="lastRow">
      <w:tblPr/>
      <w:tcPr>
        <w:tcBorders>
          <w:top w:val="single" w:sz="8" w:space="0" w:color="CC8E6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C8E60" w:themeColor="accent2"/>
          <w:insideH w:val="nil"/>
          <w:insideV w:val="nil"/>
        </w:tcBorders>
        <w:shd w:val="clear" w:color="auto" w:fill="FFFFFF" w:themeFill="background1"/>
      </w:tcPr>
    </w:tblStylePr>
    <w:tblStylePr w:type="lastCol">
      <w:tblPr/>
      <w:tcPr>
        <w:tcBorders>
          <w:top w:val="nil"/>
          <w:left w:val="single" w:sz="8" w:space="0" w:color="CC8E6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2E2D7" w:themeFill="accent2" w:themeFillTint="3F"/>
      </w:tcPr>
    </w:tblStylePr>
    <w:tblStylePr w:type="band1Horz">
      <w:tblPr/>
      <w:tcPr>
        <w:tcBorders>
          <w:top w:val="nil"/>
          <w:bottom w:val="nil"/>
          <w:insideH w:val="nil"/>
          <w:insideV w:val="nil"/>
        </w:tcBorders>
        <w:shd w:val="clear" w:color="auto" w:fill="F2E2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A6A60" w:themeColor="accent3"/>
        <w:left w:val="single" w:sz="8" w:space="0" w:color="7A6A60" w:themeColor="accent3"/>
        <w:bottom w:val="single" w:sz="8" w:space="0" w:color="7A6A60" w:themeColor="accent3"/>
        <w:right w:val="single" w:sz="8" w:space="0" w:color="7A6A60" w:themeColor="accent3"/>
      </w:tblBorders>
    </w:tblPr>
    <w:tblStylePr w:type="firstRow">
      <w:rPr>
        <w:sz w:val="24"/>
        <w:szCs w:val="24"/>
      </w:rPr>
      <w:tblPr/>
      <w:tcPr>
        <w:tcBorders>
          <w:top w:val="nil"/>
          <w:left w:val="nil"/>
          <w:bottom w:val="single" w:sz="24" w:space="0" w:color="7A6A60" w:themeColor="accent3"/>
          <w:right w:val="nil"/>
          <w:insideH w:val="nil"/>
          <w:insideV w:val="nil"/>
        </w:tcBorders>
        <w:shd w:val="clear" w:color="auto" w:fill="FFFFFF" w:themeFill="background1"/>
      </w:tcPr>
    </w:tblStylePr>
    <w:tblStylePr w:type="lastRow">
      <w:tblPr/>
      <w:tcPr>
        <w:tcBorders>
          <w:top w:val="single" w:sz="8" w:space="0" w:color="7A6A6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6A60" w:themeColor="accent3"/>
          <w:insideH w:val="nil"/>
          <w:insideV w:val="nil"/>
        </w:tcBorders>
        <w:shd w:val="clear" w:color="auto" w:fill="FFFFFF" w:themeFill="background1"/>
      </w:tcPr>
    </w:tblStylePr>
    <w:tblStylePr w:type="lastCol">
      <w:tblPr/>
      <w:tcPr>
        <w:tcBorders>
          <w:top w:val="nil"/>
          <w:left w:val="single" w:sz="8" w:space="0" w:color="7A6A6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9D6" w:themeFill="accent3" w:themeFillTint="3F"/>
      </w:tcPr>
    </w:tblStylePr>
    <w:tblStylePr w:type="band1Horz">
      <w:tblPr/>
      <w:tcPr>
        <w:tcBorders>
          <w:top w:val="nil"/>
          <w:bottom w:val="nil"/>
          <w:insideH w:val="nil"/>
          <w:insideV w:val="nil"/>
        </w:tcBorders>
        <w:shd w:val="clear" w:color="auto" w:fill="DFD9D6"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4936D" w:themeColor="accent4"/>
        <w:left w:val="single" w:sz="8" w:space="0" w:color="B4936D" w:themeColor="accent4"/>
        <w:bottom w:val="single" w:sz="8" w:space="0" w:color="B4936D" w:themeColor="accent4"/>
        <w:right w:val="single" w:sz="8" w:space="0" w:color="B4936D" w:themeColor="accent4"/>
      </w:tblBorders>
    </w:tblPr>
    <w:tblStylePr w:type="firstRow">
      <w:rPr>
        <w:sz w:val="24"/>
        <w:szCs w:val="24"/>
      </w:rPr>
      <w:tblPr/>
      <w:tcPr>
        <w:tcBorders>
          <w:top w:val="nil"/>
          <w:left w:val="nil"/>
          <w:bottom w:val="single" w:sz="24" w:space="0" w:color="B4936D" w:themeColor="accent4"/>
          <w:right w:val="nil"/>
          <w:insideH w:val="nil"/>
          <w:insideV w:val="nil"/>
        </w:tcBorders>
        <w:shd w:val="clear" w:color="auto" w:fill="FFFFFF" w:themeFill="background1"/>
      </w:tcPr>
    </w:tblStylePr>
    <w:tblStylePr w:type="lastRow">
      <w:tblPr/>
      <w:tcPr>
        <w:tcBorders>
          <w:top w:val="single" w:sz="8" w:space="0" w:color="B493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4936D" w:themeColor="accent4"/>
          <w:insideH w:val="nil"/>
          <w:insideV w:val="nil"/>
        </w:tcBorders>
        <w:shd w:val="clear" w:color="auto" w:fill="FFFFFF" w:themeFill="background1"/>
      </w:tcPr>
    </w:tblStylePr>
    <w:tblStylePr w:type="lastCol">
      <w:tblPr/>
      <w:tcPr>
        <w:tcBorders>
          <w:top w:val="nil"/>
          <w:left w:val="single" w:sz="8" w:space="0" w:color="B493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4DA" w:themeFill="accent4" w:themeFillTint="3F"/>
      </w:tcPr>
    </w:tblStylePr>
    <w:tblStylePr w:type="band1Horz">
      <w:tblPr/>
      <w:tcPr>
        <w:tcBorders>
          <w:top w:val="nil"/>
          <w:bottom w:val="nil"/>
          <w:insideH w:val="nil"/>
          <w:insideV w:val="nil"/>
        </w:tcBorders>
        <w:shd w:val="clear" w:color="auto" w:fill="ECE4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7787B" w:themeColor="accent5"/>
        <w:left w:val="single" w:sz="8" w:space="0" w:color="67787B" w:themeColor="accent5"/>
        <w:bottom w:val="single" w:sz="8" w:space="0" w:color="67787B" w:themeColor="accent5"/>
        <w:right w:val="single" w:sz="8" w:space="0" w:color="67787B" w:themeColor="accent5"/>
      </w:tblBorders>
    </w:tblPr>
    <w:tblStylePr w:type="firstRow">
      <w:rPr>
        <w:sz w:val="24"/>
        <w:szCs w:val="24"/>
      </w:rPr>
      <w:tblPr/>
      <w:tcPr>
        <w:tcBorders>
          <w:top w:val="nil"/>
          <w:left w:val="nil"/>
          <w:bottom w:val="single" w:sz="24" w:space="0" w:color="67787B" w:themeColor="accent5"/>
          <w:right w:val="nil"/>
          <w:insideH w:val="nil"/>
          <w:insideV w:val="nil"/>
        </w:tcBorders>
        <w:shd w:val="clear" w:color="auto" w:fill="FFFFFF" w:themeFill="background1"/>
      </w:tcPr>
    </w:tblStylePr>
    <w:tblStylePr w:type="lastRow">
      <w:tblPr/>
      <w:tcPr>
        <w:tcBorders>
          <w:top w:val="single" w:sz="8" w:space="0" w:color="67787B"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7787B" w:themeColor="accent5"/>
          <w:insideH w:val="nil"/>
          <w:insideV w:val="nil"/>
        </w:tcBorders>
        <w:shd w:val="clear" w:color="auto" w:fill="FFFFFF" w:themeFill="background1"/>
      </w:tcPr>
    </w:tblStylePr>
    <w:tblStylePr w:type="lastCol">
      <w:tblPr/>
      <w:tcPr>
        <w:tcBorders>
          <w:top w:val="nil"/>
          <w:left w:val="single" w:sz="8" w:space="0" w:color="67787B"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DEDF" w:themeFill="accent5" w:themeFillTint="3F"/>
      </w:tcPr>
    </w:tblStylePr>
    <w:tblStylePr w:type="band1Horz">
      <w:tblPr/>
      <w:tcPr>
        <w:tcBorders>
          <w:top w:val="nil"/>
          <w:bottom w:val="nil"/>
          <w:insideH w:val="nil"/>
          <w:insideV w:val="nil"/>
        </w:tcBorders>
        <w:shd w:val="clear" w:color="auto" w:fill="D8DED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D936F" w:themeColor="accent6"/>
        <w:left w:val="single" w:sz="8" w:space="0" w:color="9D936F" w:themeColor="accent6"/>
        <w:bottom w:val="single" w:sz="8" w:space="0" w:color="9D936F" w:themeColor="accent6"/>
        <w:right w:val="single" w:sz="8" w:space="0" w:color="9D936F" w:themeColor="accent6"/>
      </w:tblBorders>
    </w:tblPr>
    <w:tblStylePr w:type="firstRow">
      <w:rPr>
        <w:sz w:val="24"/>
        <w:szCs w:val="24"/>
      </w:rPr>
      <w:tblPr/>
      <w:tcPr>
        <w:tcBorders>
          <w:top w:val="nil"/>
          <w:left w:val="nil"/>
          <w:bottom w:val="single" w:sz="24" w:space="0" w:color="9D936F" w:themeColor="accent6"/>
          <w:right w:val="nil"/>
          <w:insideH w:val="nil"/>
          <w:insideV w:val="nil"/>
        </w:tcBorders>
        <w:shd w:val="clear" w:color="auto" w:fill="FFFFFF" w:themeFill="background1"/>
      </w:tcPr>
    </w:tblStylePr>
    <w:tblStylePr w:type="lastRow">
      <w:tblPr/>
      <w:tcPr>
        <w:tcBorders>
          <w:top w:val="single" w:sz="8" w:space="0" w:color="9D936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D936F" w:themeColor="accent6"/>
          <w:insideH w:val="nil"/>
          <w:insideV w:val="nil"/>
        </w:tcBorders>
        <w:shd w:val="clear" w:color="auto" w:fill="FFFFFF" w:themeFill="background1"/>
      </w:tcPr>
    </w:tblStylePr>
    <w:tblStylePr w:type="lastCol">
      <w:tblPr/>
      <w:tcPr>
        <w:tcBorders>
          <w:top w:val="nil"/>
          <w:left w:val="single" w:sz="8" w:space="0" w:color="9D936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4DB" w:themeFill="accent6" w:themeFillTint="3F"/>
      </w:tcPr>
    </w:tblStylePr>
    <w:tblStylePr w:type="band1Horz">
      <w:tblPr/>
      <w:tcPr>
        <w:tcBorders>
          <w:top w:val="nil"/>
          <w:bottom w:val="nil"/>
          <w:insideH w:val="nil"/>
          <w:insideV w:val="nil"/>
        </w:tcBorders>
        <w:shd w:val="clear" w:color="auto" w:fill="E6E4DB"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pPr>
      <w:spacing w:after="0" w:line="240" w:lineRule="auto"/>
    </w:pPr>
    <w:tblPr>
      <w:tblStyleRowBandSize w:val="1"/>
      <w:tblStyleColBandSize w:val="1"/>
      <w:tblBorders>
        <w:top w:val="single" w:sz="8" w:space="0" w:color="9EB0C1" w:themeColor="accent1" w:themeTint="BF"/>
        <w:left w:val="single" w:sz="8" w:space="0" w:color="9EB0C1" w:themeColor="accent1" w:themeTint="BF"/>
        <w:bottom w:val="single" w:sz="8" w:space="0" w:color="9EB0C1" w:themeColor="accent1" w:themeTint="BF"/>
        <w:right w:val="single" w:sz="8" w:space="0" w:color="9EB0C1" w:themeColor="accent1" w:themeTint="BF"/>
        <w:insideH w:val="single" w:sz="8" w:space="0" w:color="9EB0C1" w:themeColor="accent1" w:themeTint="BF"/>
      </w:tblBorders>
    </w:tblPr>
    <w:tblStylePr w:type="firstRow">
      <w:pPr>
        <w:spacing w:before="0" w:after="0" w:line="240" w:lineRule="auto"/>
      </w:pPr>
      <w:rPr>
        <w:b/>
        <w:bCs/>
        <w:color w:val="FFFFFF" w:themeColor="background1"/>
      </w:rPr>
      <w:tblPr/>
      <w:tcPr>
        <w:tcBorders>
          <w:top w:val="single" w:sz="8" w:space="0" w:color="9EB0C1" w:themeColor="accent1" w:themeTint="BF"/>
          <w:left w:val="single" w:sz="8" w:space="0" w:color="9EB0C1" w:themeColor="accent1" w:themeTint="BF"/>
          <w:bottom w:val="single" w:sz="8" w:space="0" w:color="9EB0C1" w:themeColor="accent1" w:themeTint="BF"/>
          <w:right w:val="single" w:sz="8" w:space="0" w:color="9EB0C1" w:themeColor="accent1" w:themeTint="BF"/>
          <w:insideH w:val="nil"/>
          <w:insideV w:val="nil"/>
        </w:tcBorders>
        <w:shd w:val="clear" w:color="auto" w:fill="7E97AD" w:themeFill="accent1"/>
      </w:tcPr>
    </w:tblStylePr>
    <w:tblStylePr w:type="lastRow">
      <w:pPr>
        <w:spacing w:before="0" w:after="0" w:line="240" w:lineRule="auto"/>
      </w:pPr>
      <w:rPr>
        <w:b/>
        <w:bCs/>
      </w:rPr>
      <w:tblPr/>
      <w:tcPr>
        <w:tcBorders>
          <w:top w:val="double" w:sz="6" w:space="0" w:color="9EB0C1" w:themeColor="accent1" w:themeTint="BF"/>
          <w:left w:val="single" w:sz="8" w:space="0" w:color="9EB0C1" w:themeColor="accent1" w:themeTint="BF"/>
          <w:bottom w:val="single" w:sz="8" w:space="0" w:color="9EB0C1" w:themeColor="accent1" w:themeTint="BF"/>
          <w:right w:val="single" w:sz="8" w:space="0" w:color="9EB0C1" w:themeColor="accent1" w:themeTint="BF"/>
          <w:insideH w:val="nil"/>
          <w:insideV w:val="nil"/>
        </w:tcBorders>
      </w:tcPr>
    </w:tblStylePr>
    <w:tblStylePr w:type="firstCol">
      <w:rPr>
        <w:b/>
        <w:bCs/>
      </w:rPr>
    </w:tblStylePr>
    <w:tblStylePr w:type="lastCol">
      <w:rPr>
        <w:b/>
        <w:bCs/>
      </w:rPr>
    </w:tblStylePr>
    <w:tblStylePr w:type="band1Vert">
      <w:tblPr/>
      <w:tcPr>
        <w:shd w:val="clear" w:color="auto" w:fill="DFE5EA" w:themeFill="accent1" w:themeFillTint="3F"/>
      </w:tcPr>
    </w:tblStylePr>
    <w:tblStylePr w:type="band1Horz">
      <w:tblPr/>
      <w:tcPr>
        <w:tcBorders>
          <w:insideH w:val="nil"/>
          <w:insideV w:val="nil"/>
        </w:tcBorders>
        <w:shd w:val="clear" w:color="auto" w:fill="DFE5EA"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pPr>
      <w:spacing w:after="0" w:line="240" w:lineRule="auto"/>
    </w:pPr>
    <w:tblPr>
      <w:tblStyleRowBandSize w:val="1"/>
      <w:tblStyleColBandSize w:val="1"/>
      <w:tblBorders>
        <w:top w:val="single" w:sz="8" w:space="0" w:color="D8AA87" w:themeColor="accent2" w:themeTint="BF"/>
        <w:left w:val="single" w:sz="8" w:space="0" w:color="D8AA87" w:themeColor="accent2" w:themeTint="BF"/>
        <w:bottom w:val="single" w:sz="8" w:space="0" w:color="D8AA87" w:themeColor="accent2" w:themeTint="BF"/>
        <w:right w:val="single" w:sz="8" w:space="0" w:color="D8AA87" w:themeColor="accent2" w:themeTint="BF"/>
        <w:insideH w:val="single" w:sz="8" w:space="0" w:color="D8AA87" w:themeColor="accent2" w:themeTint="BF"/>
      </w:tblBorders>
    </w:tblPr>
    <w:tblStylePr w:type="firstRow">
      <w:pPr>
        <w:spacing w:before="0" w:after="0" w:line="240" w:lineRule="auto"/>
      </w:pPr>
      <w:rPr>
        <w:b/>
        <w:bCs/>
        <w:color w:val="FFFFFF" w:themeColor="background1"/>
      </w:rPr>
      <w:tblPr/>
      <w:tcPr>
        <w:tcBorders>
          <w:top w:val="single" w:sz="8" w:space="0" w:color="D8AA87" w:themeColor="accent2" w:themeTint="BF"/>
          <w:left w:val="single" w:sz="8" w:space="0" w:color="D8AA87" w:themeColor="accent2" w:themeTint="BF"/>
          <w:bottom w:val="single" w:sz="8" w:space="0" w:color="D8AA87" w:themeColor="accent2" w:themeTint="BF"/>
          <w:right w:val="single" w:sz="8" w:space="0" w:color="D8AA87" w:themeColor="accent2" w:themeTint="BF"/>
          <w:insideH w:val="nil"/>
          <w:insideV w:val="nil"/>
        </w:tcBorders>
        <w:shd w:val="clear" w:color="auto" w:fill="CC8E60" w:themeFill="accent2"/>
      </w:tcPr>
    </w:tblStylePr>
    <w:tblStylePr w:type="lastRow">
      <w:pPr>
        <w:spacing w:before="0" w:after="0" w:line="240" w:lineRule="auto"/>
      </w:pPr>
      <w:rPr>
        <w:b/>
        <w:bCs/>
      </w:rPr>
      <w:tblPr/>
      <w:tcPr>
        <w:tcBorders>
          <w:top w:val="double" w:sz="6" w:space="0" w:color="D8AA87" w:themeColor="accent2" w:themeTint="BF"/>
          <w:left w:val="single" w:sz="8" w:space="0" w:color="D8AA87" w:themeColor="accent2" w:themeTint="BF"/>
          <w:bottom w:val="single" w:sz="8" w:space="0" w:color="D8AA87" w:themeColor="accent2" w:themeTint="BF"/>
          <w:right w:val="single" w:sz="8" w:space="0" w:color="D8AA87" w:themeColor="accent2" w:themeTint="BF"/>
          <w:insideH w:val="nil"/>
          <w:insideV w:val="nil"/>
        </w:tcBorders>
      </w:tcPr>
    </w:tblStylePr>
    <w:tblStylePr w:type="firstCol">
      <w:rPr>
        <w:b/>
        <w:bCs/>
      </w:rPr>
    </w:tblStylePr>
    <w:tblStylePr w:type="lastCol">
      <w:rPr>
        <w:b/>
        <w:bCs/>
      </w:rPr>
    </w:tblStylePr>
    <w:tblStylePr w:type="band1Vert">
      <w:tblPr/>
      <w:tcPr>
        <w:shd w:val="clear" w:color="auto" w:fill="F2E2D7" w:themeFill="accent2" w:themeFillTint="3F"/>
      </w:tcPr>
    </w:tblStylePr>
    <w:tblStylePr w:type="band1Horz">
      <w:tblPr/>
      <w:tcPr>
        <w:tcBorders>
          <w:insideH w:val="nil"/>
          <w:insideV w:val="nil"/>
        </w:tcBorders>
        <w:shd w:val="clear" w:color="auto" w:fill="F2E2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pPr>
      <w:spacing w:after="0" w:line="240" w:lineRule="auto"/>
    </w:pPr>
    <w:tblPr>
      <w:tblStyleRowBandSize w:val="1"/>
      <w:tblStyleColBandSize w:val="1"/>
      <w:tblBorders>
        <w:top w:val="single" w:sz="8" w:space="0" w:color="9E8E84" w:themeColor="accent3" w:themeTint="BF"/>
        <w:left w:val="single" w:sz="8" w:space="0" w:color="9E8E84" w:themeColor="accent3" w:themeTint="BF"/>
        <w:bottom w:val="single" w:sz="8" w:space="0" w:color="9E8E84" w:themeColor="accent3" w:themeTint="BF"/>
        <w:right w:val="single" w:sz="8" w:space="0" w:color="9E8E84" w:themeColor="accent3" w:themeTint="BF"/>
        <w:insideH w:val="single" w:sz="8" w:space="0" w:color="9E8E84" w:themeColor="accent3" w:themeTint="BF"/>
      </w:tblBorders>
    </w:tblPr>
    <w:tblStylePr w:type="firstRow">
      <w:pPr>
        <w:spacing w:before="0" w:after="0" w:line="240" w:lineRule="auto"/>
      </w:pPr>
      <w:rPr>
        <w:b/>
        <w:bCs/>
        <w:color w:val="FFFFFF" w:themeColor="background1"/>
      </w:rPr>
      <w:tblPr/>
      <w:tcPr>
        <w:tcBorders>
          <w:top w:val="single" w:sz="8" w:space="0" w:color="9E8E84" w:themeColor="accent3" w:themeTint="BF"/>
          <w:left w:val="single" w:sz="8" w:space="0" w:color="9E8E84" w:themeColor="accent3" w:themeTint="BF"/>
          <w:bottom w:val="single" w:sz="8" w:space="0" w:color="9E8E84" w:themeColor="accent3" w:themeTint="BF"/>
          <w:right w:val="single" w:sz="8" w:space="0" w:color="9E8E84" w:themeColor="accent3" w:themeTint="BF"/>
          <w:insideH w:val="nil"/>
          <w:insideV w:val="nil"/>
        </w:tcBorders>
        <w:shd w:val="clear" w:color="auto" w:fill="7A6A60" w:themeFill="accent3"/>
      </w:tcPr>
    </w:tblStylePr>
    <w:tblStylePr w:type="lastRow">
      <w:pPr>
        <w:spacing w:before="0" w:after="0" w:line="240" w:lineRule="auto"/>
      </w:pPr>
      <w:rPr>
        <w:b/>
        <w:bCs/>
      </w:rPr>
      <w:tblPr/>
      <w:tcPr>
        <w:tcBorders>
          <w:top w:val="double" w:sz="6" w:space="0" w:color="9E8E84" w:themeColor="accent3" w:themeTint="BF"/>
          <w:left w:val="single" w:sz="8" w:space="0" w:color="9E8E84" w:themeColor="accent3" w:themeTint="BF"/>
          <w:bottom w:val="single" w:sz="8" w:space="0" w:color="9E8E84" w:themeColor="accent3" w:themeTint="BF"/>
          <w:right w:val="single" w:sz="8" w:space="0" w:color="9E8E84" w:themeColor="accent3" w:themeTint="BF"/>
          <w:insideH w:val="nil"/>
          <w:insideV w:val="nil"/>
        </w:tcBorders>
      </w:tcPr>
    </w:tblStylePr>
    <w:tblStylePr w:type="firstCol">
      <w:rPr>
        <w:b/>
        <w:bCs/>
      </w:rPr>
    </w:tblStylePr>
    <w:tblStylePr w:type="lastCol">
      <w:rPr>
        <w:b/>
        <w:bCs/>
      </w:rPr>
    </w:tblStylePr>
    <w:tblStylePr w:type="band1Vert">
      <w:tblPr/>
      <w:tcPr>
        <w:shd w:val="clear" w:color="auto" w:fill="DFD9D6" w:themeFill="accent3" w:themeFillTint="3F"/>
      </w:tcPr>
    </w:tblStylePr>
    <w:tblStylePr w:type="band1Horz">
      <w:tblPr/>
      <w:tcPr>
        <w:tcBorders>
          <w:insideH w:val="nil"/>
          <w:insideV w:val="nil"/>
        </w:tcBorders>
        <w:shd w:val="clear" w:color="auto" w:fill="DFD9D6"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pPr>
      <w:spacing w:after="0" w:line="240" w:lineRule="auto"/>
    </w:pPr>
    <w:tblPr>
      <w:tblStyleRowBandSize w:val="1"/>
      <w:tblStyleColBandSize w:val="1"/>
      <w:tblBorders>
        <w:top w:val="single" w:sz="8" w:space="0" w:color="C6AD91" w:themeColor="accent4" w:themeTint="BF"/>
        <w:left w:val="single" w:sz="8" w:space="0" w:color="C6AD91" w:themeColor="accent4" w:themeTint="BF"/>
        <w:bottom w:val="single" w:sz="8" w:space="0" w:color="C6AD91" w:themeColor="accent4" w:themeTint="BF"/>
        <w:right w:val="single" w:sz="8" w:space="0" w:color="C6AD91" w:themeColor="accent4" w:themeTint="BF"/>
        <w:insideH w:val="single" w:sz="8" w:space="0" w:color="C6AD91" w:themeColor="accent4" w:themeTint="BF"/>
      </w:tblBorders>
    </w:tblPr>
    <w:tblStylePr w:type="firstRow">
      <w:pPr>
        <w:spacing w:before="0" w:after="0" w:line="240" w:lineRule="auto"/>
      </w:pPr>
      <w:rPr>
        <w:b/>
        <w:bCs/>
        <w:color w:val="FFFFFF" w:themeColor="background1"/>
      </w:rPr>
      <w:tblPr/>
      <w:tcPr>
        <w:tcBorders>
          <w:top w:val="single" w:sz="8" w:space="0" w:color="C6AD91" w:themeColor="accent4" w:themeTint="BF"/>
          <w:left w:val="single" w:sz="8" w:space="0" w:color="C6AD91" w:themeColor="accent4" w:themeTint="BF"/>
          <w:bottom w:val="single" w:sz="8" w:space="0" w:color="C6AD91" w:themeColor="accent4" w:themeTint="BF"/>
          <w:right w:val="single" w:sz="8" w:space="0" w:color="C6AD91" w:themeColor="accent4" w:themeTint="BF"/>
          <w:insideH w:val="nil"/>
          <w:insideV w:val="nil"/>
        </w:tcBorders>
        <w:shd w:val="clear" w:color="auto" w:fill="B4936D" w:themeFill="accent4"/>
      </w:tcPr>
    </w:tblStylePr>
    <w:tblStylePr w:type="lastRow">
      <w:pPr>
        <w:spacing w:before="0" w:after="0" w:line="240" w:lineRule="auto"/>
      </w:pPr>
      <w:rPr>
        <w:b/>
        <w:bCs/>
      </w:rPr>
      <w:tblPr/>
      <w:tcPr>
        <w:tcBorders>
          <w:top w:val="double" w:sz="6" w:space="0" w:color="C6AD91" w:themeColor="accent4" w:themeTint="BF"/>
          <w:left w:val="single" w:sz="8" w:space="0" w:color="C6AD91" w:themeColor="accent4" w:themeTint="BF"/>
          <w:bottom w:val="single" w:sz="8" w:space="0" w:color="C6AD91" w:themeColor="accent4" w:themeTint="BF"/>
          <w:right w:val="single" w:sz="8" w:space="0" w:color="C6AD91"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4DA" w:themeFill="accent4" w:themeFillTint="3F"/>
      </w:tcPr>
    </w:tblStylePr>
    <w:tblStylePr w:type="band1Horz">
      <w:tblPr/>
      <w:tcPr>
        <w:tcBorders>
          <w:insideH w:val="nil"/>
          <w:insideV w:val="nil"/>
        </w:tcBorders>
        <w:shd w:val="clear" w:color="auto" w:fill="ECE4D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pPr>
      <w:spacing w:after="0" w:line="240" w:lineRule="auto"/>
    </w:pPr>
    <w:tblPr>
      <w:tblStyleRowBandSize w:val="1"/>
      <w:tblStyleColBandSize w:val="1"/>
      <w:tblBorders>
        <w:top w:val="single" w:sz="8" w:space="0" w:color="8B9B9E" w:themeColor="accent5" w:themeTint="BF"/>
        <w:left w:val="single" w:sz="8" w:space="0" w:color="8B9B9E" w:themeColor="accent5" w:themeTint="BF"/>
        <w:bottom w:val="single" w:sz="8" w:space="0" w:color="8B9B9E" w:themeColor="accent5" w:themeTint="BF"/>
        <w:right w:val="single" w:sz="8" w:space="0" w:color="8B9B9E" w:themeColor="accent5" w:themeTint="BF"/>
        <w:insideH w:val="single" w:sz="8" w:space="0" w:color="8B9B9E" w:themeColor="accent5" w:themeTint="BF"/>
      </w:tblBorders>
    </w:tblPr>
    <w:tblStylePr w:type="firstRow">
      <w:pPr>
        <w:spacing w:before="0" w:after="0" w:line="240" w:lineRule="auto"/>
      </w:pPr>
      <w:rPr>
        <w:b/>
        <w:bCs/>
        <w:color w:val="FFFFFF" w:themeColor="background1"/>
      </w:rPr>
      <w:tblPr/>
      <w:tcPr>
        <w:tcBorders>
          <w:top w:val="single" w:sz="8" w:space="0" w:color="8B9B9E" w:themeColor="accent5" w:themeTint="BF"/>
          <w:left w:val="single" w:sz="8" w:space="0" w:color="8B9B9E" w:themeColor="accent5" w:themeTint="BF"/>
          <w:bottom w:val="single" w:sz="8" w:space="0" w:color="8B9B9E" w:themeColor="accent5" w:themeTint="BF"/>
          <w:right w:val="single" w:sz="8" w:space="0" w:color="8B9B9E" w:themeColor="accent5" w:themeTint="BF"/>
          <w:insideH w:val="nil"/>
          <w:insideV w:val="nil"/>
        </w:tcBorders>
        <w:shd w:val="clear" w:color="auto" w:fill="67787B" w:themeFill="accent5"/>
      </w:tcPr>
    </w:tblStylePr>
    <w:tblStylePr w:type="lastRow">
      <w:pPr>
        <w:spacing w:before="0" w:after="0" w:line="240" w:lineRule="auto"/>
      </w:pPr>
      <w:rPr>
        <w:b/>
        <w:bCs/>
      </w:rPr>
      <w:tblPr/>
      <w:tcPr>
        <w:tcBorders>
          <w:top w:val="double" w:sz="6" w:space="0" w:color="8B9B9E" w:themeColor="accent5" w:themeTint="BF"/>
          <w:left w:val="single" w:sz="8" w:space="0" w:color="8B9B9E" w:themeColor="accent5" w:themeTint="BF"/>
          <w:bottom w:val="single" w:sz="8" w:space="0" w:color="8B9B9E" w:themeColor="accent5" w:themeTint="BF"/>
          <w:right w:val="single" w:sz="8" w:space="0" w:color="8B9B9E" w:themeColor="accent5" w:themeTint="BF"/>
          <w:insideH w:val="nil"/>
          <w:insideV w:val="nil"/>
        </w:tcBorders>
      </w:tcPr>
    </w:tblStylePr>
    <w:tblStylePr w:type="firstCol">
      <w:rPr>
        <w:b/>
        <w:bCs/>
      </w:rPr>
    </w:tblStylePr>
    <w:tblStylePr w:type="lastCol">
      <w:rPr>
        <w:b/>
        <w:bCs/>
      </w:rPr>
    </w:tblStylePr>
    <w:tblStylePr w:type="band1Vert">
      <w:tblPr/>
      <w:tcPr>
        <w:shd w:val="clear" w:color="auto" w:fill="D8DEDF" w:themeFill="accent5" w:themeFillTint="3F"/>
      </w:tcPr>
    </w:tblStylePr>
    <w:tblStylePr w:type="band1Horz">
      <w:tblPr/>
      <w:tcPr>
        <w:tcBorders>
          <w:insideH w:val="nil"/>
          <w:insideV w:val="nil"/>
        </w:tcBorders>
        <w:shd w:val="clear" w:color="auto" w:fill="D8DED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pPr>
      <w:spacing w:after="0" w:line="240" w:lineRule="auto"/>
    </w:pPr>
    <w:tblPr>
      <w:tblStyleRowBandSize w:val="1"/>
      <w:tblStyleColBandSize w:val="1"/>
      <w:tblBorders>
        <w:top w:val="single" w:sz="8" w:space="0" w:color="B5AE93" w:themeColor="accent6" w:themeTint="BF"/>
        <w:left w:val="single" w:sz="8" w:space="0" w:color="B5AE93" w:themeColor="accent6" w:themeTint="BF"/>
        <w:bottom w:val="single" w:sz="8" w:space="0" w:color="B5AE93" w:themeColor="accent6" w:themeTint="BF"/>
        <w:right w:val="single" w:sz="8" w:space="0" w:color="B5AE93" w:themeColor="accent6" w:themeTint="BF"/>
        <w:insideH w:val="single" w:sz="8" w:space="0" w:color="B5AE93" w:themeColor="accent6" w:themeTint="BF"/>
      </w:tblBorders>
    </w:tblPr>
    <w:tblStylePr w:type="firstRow">
      <w:pPr>
        <w:spacing w:before="0" w:after="0" w:line="240" w:lineRule="auto"/>
      </w:pPr>
      <w:rPr>
        <w:b/>
        <w:bCs/>
        <w:color w:val="FFFFFF" w:themeColor="background1"/>
      </w:rPr>
      <w:tblPr/>
      <w:tcPr>
        <w:tcBorders>
          <w:top w:val="single" w:sz="8" w:space="0" w:color="B5AE93" w:themeColor="accent6" w:themeTint="BF"/>
          <w:left w:val="single" w:sz="8" w:space="0" w:color="B5AE93" w:themeColor="accent6" w:themeTint="BF"/>
          <w:bottom w:val="single" w:sz="8" w:space="0" w:color="B5AE93" w:themeColor="accent6" w:themeTint="BF"/>
          <w:right w:val="single" w:sz="8" w:space="0" w:color="B5AE93" w:themeColor="accent6" w:themeTint="BF"/>
          <w:insideH w:val="nil"/>
          <w:insideV w:val="nil"/>
        </w:tcBorders>
        <w:shd w:val="clear" w:color="auto" w:fill="9D936F" w:themeFill="accent6"/>
      </w:tcPr>
    </w:tblStylePr>
    <w:tblStylePr w:type="lastRow">
      <w:pPr>
        <w:spacing w:before="0" w:after="0" w:line="240" w:lineRule="auto"/>
      </w:pPr>
      <w:rPr>
        <w:b/>
        <w:bCs/>
      </w:rPr>
      <w:tblPr/>
      <w:tcPr>
        <w:tcBorders>
          <w:top w:val="double" w:sz="6" w:space="0" w:color="B5AE93" w:themeColor="accent6" w:themeTint="BF"/>
          <w:left w:val="single" w:sz="8" w:space="0" w:color="B5AE93" w:themeColor="accent6" w:themeTint="BF"/>
          <w:bottom w:val="single" w:sz="8" w:space="0" w:color="B5AE93" w:themeColor="accent6" w:themeTint="BF"/>
          <w:right w:val="single" w:sz="8" w:space="0" w:color="B5AE93" w:themeColor="accent6" w:themeTint="BF"/>
          <w:insideH w:val="nil"/>
          <w:insideV w:val="nil"/>
        </w:tcBorders>
      </w:tcPr>
    </w:tblStylePr>
    <w:tblStylePr w:type="firstCol">
      <w:rPr>
        <w:b/>
        <w:bCs/>
      </w:rPr>
    </w:tblStylePr>
    <w:tblStylePr w:type="lastCol">
      <w:rPr>
        <w:b/>
        <w:bCs/>
      </w:rPr>
    </w:tblStylePr>
    <w:tblStylePr w:type="band1Vert">
      <w:tblPr/>
      <w:tcPr>
        <w:shd w:val="clear" w:color="auto" w:fill="E6E4DB" w:themeFill="accent6" w:themeFillTint="3F"/>
      </w:tcPr>
    </w:tblStylePr>
    <w:tblStylePr w:type="band1Horz">
      <w:tblPr/>
      <w:tcPr>
        <w:tcBorders>
          <w:insideH w:val="nil"/>
          <w:insideV w:val="nil"/>
        </w:tcBorders>
        <w:shd w:val="clear" w:color="auto" w:fill="E6E4DB"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E97A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E97AD" w:themeFill="accent1"/>
      </w:tcPr>
    </w:tblStylePr>
    <w:tblStylePr w:type="lastCol">
      <w:rPr>
        <w:b/>
        <w:bCs/>
        <w:color w:val="FFFFFF" w:themeColor="background1"/>
      </w:rPr>
      <w:tblPr/>
      <w:tcPr>
        <w:tcBorders>
          <w:left w:val="nil"/>
          <w:right w:val="nil"/>
          <w:insideH w:val="nil"/>
          <w:insideV w:val="nil"/>
        </w:tcBorders>
        <w:shd w:val="clear" w:color="auto" w:fill="7E97A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C8E6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C8E60" w:themeFill="accent2"/>
      </w:tcPr>
    </w:tblStylePr>
    <w:tblStylePr w:type="lastCol">
      <w:rPr>
        <w:b/>
        <w:bCs/>
        <w:color w:val="FFFFFF" w:themeColor="background1"/>
      </w:rPr>
      <w:tblPr/>
      <w:tcPr>
        <w:tcBorders>
          <w:left w:val="nil"/>
          <w:right w:val="nil"/>
          <w:insideH w:val="nil"/>
          <w:insideV w:val="nil"/>
        </w:tcBorders>
        <w:shd w:val="clear" w:color="auto" w:fill="CC8E6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6A6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6A60" w:themeFill="accent3"/>
      </w:tcPr>
    </w:tblStylePr>
    <w:tblStylePr w:type="lastCol">
      <w:rPr>
        <w:b/>
        <w:bCs/>
        <w:color w:val="FFFFFF" w:themeColor="background1"/>
      </w:rPr>
      <w:tblPr/>
      <w:tcPr>
        <w:tcBorders>
          <w:left w:val="nil"/>
          <w:right w:val="nil"/>
          <w:insideH w:val="nil"/>
          <w:insideV w:val="nil"/>
        </w:tcBorders>
        <w:shd w:val="clear" w:color="auto" w:fill="7A6A6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4936D"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4936D" w:themeFill="accent4"/>
      </w:tcPr>
    </w:tblStylePr>
    <w:tblStylePr w:type="lastCol">
      <w:rPr>
        <w:b/>
        <w:bCs/>
        <w:color w:val="FFFFFF" w:themeColor="background1"/>
      </w:rPr>
      <w:tblPr/>
      <w:tcPr>
        <w:tcBorders>
          <w:left w:val="nil"/>
          <w:right w:val="nil"/>
          <w:insideH w:val="nil"/>
          <w:insideV w:val="nil"/>
        </w:tcBorders>
        <w:shd w:val="clear" w:color="auto" w:fill="B4936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7787B"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7787B" w:themeFill="accent5"/>
      </w:tcPr>
    </w:tblStylePr>
    <w:tblStylePr w:type="lastCol">
      <w:rPr>
        <w:b/>
        <w:bCs/>
        <w:color w:val="FFFFFF" w:themeColor="background1"/>
      </w:rPr>
      <w:tblPr/>
      <w:tcPr>
        <w:tcBorders>
          <w:left w:val="nil"/>
          <w:right w:val="nil"/>
          <w:insideH w:val="nil"/>
          <w:insideV w:val="nil"/>
        </w:tcBorders>
        <w:shd w:val="clear" w:color="auto" w:fill="67787B"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D936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D936F" w:themeFill="accent6"/>
      </w:tcPr>
    </w:tblStylePr>
    <w:tblStylePr w:type="lastCol">
      <w:rPr>
        <w:b/>
        <w:bCs/>
        <w:color w:val="FFFFFF" w:themeColor="background1"/>
      </w:rPr>
      <w:tblPr/>
      <w:tcPr>
        <w:tcBorders>
          <w:left w:val="nil"/>
          <w:right w:val="nil"/>
          <w:insideH w:val="nil"/>
          <w:insideV w:val="nil"/>
        </w:tcBorders>
        <w:shd w:val="clear" w:color="auto" w:fill="9D936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rPr>
  </w:style>
  <w:style w:type="character" w:customStyle="1" w:styleId="MessageHeaderChar">
    <w:name w:val="Message Header Char"/>
    <w:basedOn w:val="DefaultParagraphFont"/>
    <w:link w:val="MessageHeader"/>
    <w:uiPriority w:val="99"/>
    <w:semiHidden/>
    <w:rPr>
      <w:rFonts w:asciiTheme="majorHAnsi" w:eastAsiaTheme="majorEastAsia" w:hAnsiTheme="majorHAnsi" w:cstheme="majorBidi"/>
      <w:sz w:val="24"/>
      <w:shd w:val="pct20" w:color="auto" w:fill="auto"/>
    </w:rPr>
  </w:style>
  <w:style w:type="paragraph" w:styleId="NormalWeb">
    <w:name w:val="Normal (Web)"/>
    <w:basedOn w:val="Normal"/>
    <w:uiPriority w:val="99"/>
    <w:unhideWhenUsed/>
    <w:rPr>
      <w:rFonts w:ascii="Times New Roman" w:hAnsi="Times New Roman" w:cs="Times New Roman"/>
      <w:sz w:val="24"/>
    </w:rPr>
  </w:style>
  <w:style w:type="paragraph" w:styleId="NormalIndent">
    <w:name w:val="Normal Indent"/>
    <w:basedOn w:val="Normal"/>
    <w:uiPriority w:val="99"/>
    <w:semiHidden/>
    <w:unhideWhenUsed/>
    <w:pPr>
      <w:ind w:left="720"/>
    </w:pPr>
  </w:style>
  <w:style w:type="paragraph" w:styleId="NoteHeading">
    <w:name w:val="Note Heading"/>
    <w:basedOn w:val="Normal"/>
    <w:next w:val="Normal"/>
    <w:link w:val="NoteHeadingChar"/>
    <w:uiPriority w:val="99"/>
    <w:semiHidden/>
    <w:unhideWhenUsed/>
    <w:pPr>
      <w:spacing w:after="0" w:line="240" w:lineRule="auto"/>
    </w:pPr>
  </w:style>
  <w:style w:type="character" w:customStyle="1" w:styleId="NoteHeadingChar">
    <w:name w:val="Note Heading Char"/>
    <w:basedOn w:val="DefaultParagraphFont"/>
    <w:link w:val="NoteHeading"/>
    <w:uiPriority w:val="99"/>
    <w:semiHidden/>
  </w:style>
  <w:style w:type="character" w:styleId="PageNumber">
    <w:name w:val="page number"/>
    <w:basedOn w:val="DefaultParagraphFont"/>
    <w:uiPriority w:val="99"/>
    <w:semiHidden/>
    <w:unhideWhenUsed/>
  </w:style>
  <w:style w:type="paragraph" w:styleId="PlainText">
    <w:name w:val="Plain Text"/>
    <w:basedOn w:val="Normal"/>
    <w:link w:val="PlainTextChar"/>
    <w:uiPriority w:val="99"/>
    <w:semiHidden/>
    <w:unhideWhenUsed/>
    <w:pPr>
      <w:spacing w:after="0" w:line="240" w:lineRule="auto"/>
    </w:pPr>
    <w:rPr>
      <w:rFonts w:ascii="Consolas" w:hAnsi="Consolas" w:cs="Consolas"/>
      <w:sz w:val="21"/>
    </w:rPr>
  </w:style>
  <w:style w:type="character" w:customStyle="1" w:styleId="PlainTextChar">
    <w:name w:val="Plain Text Char"/>
    <w:basedOn w:val="DefaultParagraphFont"/>
    <w:link w:val="PlainText"/>
    <w:uiPriority w:val="99"/>
    <w:semiHidden/>
    <w:rPr>
      <w:rFonts w:ascii="Consolas" w:hAnsi="Consolas" w:cs="Consolas"/>
      <w:sz w:val="21"/>
    </w:rPr>
  </w:style>
  <w:style w:type="paragraph" w:styleId="Salutation">
    <w:name w:val="Salutation"/>
    <w:basedOn w:val="Normal"/>
    <w:next w:val="Normal"/>
    <w:link w:val="SalutationChar"/>
    <w:uiPriority w:val="99"/>
    <w:semiHidden/>
    <w:unhideWhenUsed/>
  </w:style>
  <w:style w:type="character" w:customStyle="1" w:styleId="SalutationChar">
    <w:name w:val="Salutation Char"/>
    <w:basedOn w:val="DefaultParagraphFont"/>
    <w:link w:val="Salutation"/>
    <w:uiPriority w:val="99"/>
    <w:semiHidden/>
  </w:style>
  <w:style w:type="paragraph" w:styleId="Signature">
    <w:name w:val="Signature"/>
    <w:basedOn w:val="Normal"/>
    <w:link w:val="SignatureChar"/>
    <w:uiPriority w:val="6"/>
    <w:qFormat/>
    <w:rsid w:val="002D2C14"/>
    <w:pPr>
      <w:spacing w:before="720" w:after="0" w:line="312" w:lineRule="auto"/>
      <w:contextualSpacing/>
    </w:pPr>
  </w:style>
  <w:style w:type="character" w:customStyle="1" w:styleId="SignatureChar">
    <w:name w:val="Signature Char"/>
    <w:basedOn w:val="DefaultParagraphFont"/>
    <w:link w:val="Signature"/>
    <w:uiPriority w:val="6"/>
    <w:rsid w:val="002D2C14"/>
    <w:rPr>
      <w:kern w:val="20"/>
    </w:rPr>
  </w:style>
  <w:style w:type="character" w:styleId="Strong">
    <w:name w:val="Strong"/>
    <w:basedOn w:val="DefaultParagraphFont"/>
    <w:uiPriority w:val="22"/>
    <w:qFormat/>
    <w:rPr>
      <w:b/>
      <w:bCs/>
    </w:rPr>
  </w:style>
  <w:style w:type="paragraph" w:styleId="Subtitle">
    <w:name w:val="Subtitle"/>
    <w:basedOn w:val="Normal"/>
    <w:link w:val="SubtitleChar"/>
    <w:uiPriority w:val="2"/>
    <w:qFormat/>
    <w:rsid w:val="006451F1"/>
    <w:pPr>
      <w:numPr>
        <w:ilvl w:val="1"/>
      </w:numPr>
      <w:ind w:left="432" w:right="1080"/>
      <w:contextualSpacing/>
    </w:pPr>
    <w:rPr>
      <w:rFonts w:asciiTheme="majorHAnsi" w:eastAsiaTheme="majorEastAsia" w:hAnsiTheme="majorHAnsi" w:cstheme="majorBidi"/>
      <w:b/>
      <w:color w:val="7E97AD" w:themeColor="accent1"/>
      <w:sz w:val="56"/>
    </w:rPr>
  </w:style>
  <w:style w:type="character" w:customStyle="1" w:styleId="SubtitleChar">
    <w:name w:val="Subtitle Char"/>
    <w:basedOn w:val="DefaultParagraphFont"/>
    <w:link w:val="Subtitle"/>
    <w:uiPriority w:val="2"/>
    <w:rsid w:val="006451F1"/>
    <w:rPr>
      <w:rFonts w:asciiTheme="majorHAnsi" w:eastAsiaTheme="majorEastAsia" w:hAnsiTheme="majorHAnsi" w:cstheme="majorBidi"/>
      <w:b/>
      <w:color w:val="7E97AD" w:themeColor="accent1"/>
      <w:kern w:val="20"/>
      <w:sz w:val="56"/>
    </w:rPr>
  </w:style>
  <w:style w:type="character" w:styleId="SubtleEmphasis">
    <w:name w:val="Subtle Emphasis"/>
    <w:basedOn w:val="DefaultParagraphFont"/>
    <w:uiPriority w:val="19"/>
    <w:semiHidden/>
    <w:unhideWhenUsed/>
    <w:rPr>
      <w:i/>
      <w:iCs/>
      <w:color w:val="808080" w:themeColor="text1" w:themeTint="7F"/>
    </w:rPr>
  </w:style>
  <w:style w:type="character" w:styleId="SubtleReference">
    <w:name w:val="Subtle Reference"/>
    <w:basedOn w:val="DefaultParagraphFont"/>
    <w:uiPriority w:val="31"/>
    <w:semiHidden/>
    <w:unhideWhenUsed/>
    <w:rPr>
      <w:smallCaps/>
      <w:color w:val="CC8E60" w:themeColor="accent2"/>
      <w:u w:val="single"/>
    </w:rPr>
  </w:style>
  <w:style w:type="table" w:styleId="Table3Deffects1">
    <w:name w:val="Table 3D effects 1"/>
    <w:basedOn w:val="TableNormal"/>
    <w:uiPriority w:val="99"/>
    <w:semiHidden/>
    <w:unhideWhenUsed/>
    <w:pPr>
      <w:spacing w:line="300" w:lineRule="auto"/>
    </w:pPr>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pPr>
      <w:spacing w:line="300" w:lineRule="auto"/>
    </w:pPr>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pPr>
      <w:spacing w:line="300" w:lineRule="auto"/>
    </w:pPr>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pPr>
      <w:spacing w:line="300" w:lineRule="auto"/>
    </w:pPr>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pPr>
      <w:spacing w:line="300" w:lineRule="auto"/>
    </w:pPr>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pPr>
      <w:spacing w:line="30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pPr>
      <w:spacing w:line="300" w:lineRule="auto"/>
    </w:pPr>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pPr>
      <w:spacing w:line="30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pPr>
      <w:spacing w:line="300" w:lineRule="auto"/>
    </w:pPr>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pPr>
      <w:spacing w:line="300" w:lineRule="auto"/>
    </w:pPr>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pPr>
      <w:spacing w:line="300" w:lineRule="auto"/>
    </w:pPr>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pPr>
      <w:spacing w:line="300" w:lineRule="auto"/>
    </w:pPr>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pPr>
      <w:spacing w:line="300" w:lineRule="auto"/>
    </w:pPr>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pPr>
      <w:spacing w:line="300" w:lineRule="auto"/>
    </w:pPr>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pPr>
      <w:spacing w:line="300" w:lineRule="auto"/>
    </w:pPr>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pPr>
      <w:spacing w:line="30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pPr>
      <w:spacing w:line="300" w:lineRule="auto"/>
    </w:pPr>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pPr>
      <w:spacing w:line="300" w:lineRule="auto"/>
    </w:pPr>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pPr>
      <w:spacing w:line="300" w:lineRule="auto"/>
    </w:pPr>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pPr>
      <w:spacing w:line="300" w:lineRule="auto"/>
    </w:pPr>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pPr>
      <w:spacing w:line="300" w:lineRule="auto"/>
    </w:pPr>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pPr>
      <w:spacing w:line="300" w:lineRule="auto"/>
    </w:pPr>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pPr>
      <w:spacing w:line="300" w:lineRule="auto"/>
    </w:pPr>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pPr>
      <w:spacing w:line="300" w:lineRule="auto"/>
    </w:pPr>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pPr>
      <w:spacing w:line="300" w:lineRule="auto"/>
    </w:pPr>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pPr>
      <w:spacing w:line="30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pPr>
      <w:spacing w:line="30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pPr>
      <w:spacing w:line="300" w:lineRule="auto"/>
    </w:pPr>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pPr>
      <w:spacing w:line="300" w:lineRule="auto"/>
    </w:pPr>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pPr>
      <w:spacing w:line="300" w:lineRule="auto"/>
    </w:pPr>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pPr>
      <w:spacing w:line="300" w:lineRule="auto"/>
    </w:pPr>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pPr>
      <w:spacing w:line="30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pPr>
      <w:spacing w:line="30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pPr>
      <w:spacing w:after="0"/>
      <w:ind w:left="220" w:hanging="220"/>
    </w:pPr>
  </w:style>
  <w:style w:type="paragraph" w:styleId="TableofFigures">
    <w:name w:val="table of figures"/>
    <w:basedOn w:val="Normal"/>
    <w:next w:val="Normal"/>
    <w:uiPriority w:val="99"/>
    <w:semiHidden/>
    <w:unhideWhenUsed/>
    <w:pPr>
      <w:spacing w:after="0"/>
    </w:pPr>
  </w:style>
  <w:style w:type="table" w:styleId="TableProfessional">
    <w:name w:val="Table Professional"/>
    <w:basedOn w:val="TableNormal"/>
    <w:uiPriority w:val="99"/>
    <w:semiHidden/>
    <w:unhideWhenUsed/>
    <w:pPr>
      <w:spacing w:line="300" w:lineRule="auto"/>
    </w:pPr>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pPr>
      <w:spacing w:line="300" w:lineRule="auto"/>
    </w:pPr>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pPr>
      <w:spacing w:line="30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pPr>
      <w:spacing w:line="300" w:lineRule="auto"/>
    </w:pPr>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pPr>
      <w:spacing w:line="30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pPr>
      <w:spacing w:line="30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pPr>
      <w:spacing w:line="30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pPr>
      <w:spacing w:line="300" w:lineRule="auto"/>
    </w:pPr>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pPr>
      <w:spacing w:line="300" w:lineRule="auto"/>
    </w:pPr>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pPr>
      <w:spacing w:line="300" w:lineRule="auto"/>
    </w:pPr>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uiPriority w:val="1"/>
    <w:qFormat/>
    <w:rsid w:val="001C0CEC"/>
    <w:pPr>
      <w:pBdr>
        <w:top w:val="single" w:sz="4" w:space="16" w:color="7E97AD" w:themeColor="accent1"/>
        <w:left w:val="single" w:sz="4" w:space="20" w:color="7E97AD" w:themeColor="accent1"/>
        <w:bottom w:val="single" w:sz="4" w:space="16" w:color="7E97AD" w:themeColor="accent1"/>
        <w:right w:val="single" w:sz="4" w:space="20" w:color="7E97AD" w:themeColor="accent1"/>
      </w:pBdr>
      <w:shd w:val="clear" w:color="auto" w:fill="7E97AD" w:themeFill="accent1"/>
      <w:spacing w:before="1080" w:after="240" w:line="204" w:lineRule="auto"/>
      <w:ind w:left="432" w:right="432"/>
      <w:contextualSpacing/>
    </w:pPr>
    <w:rPr>
      <w:rFonts w:asciiTheme="majorHAnsi" w:eastAsiaTheme="majorEastAsia" w:hAnsiTheme="majorHAnsi" w:cstheme="majorBidi"/>
      <w:b/>
      <w:caps/>
      <w:color w:val="FFFFFF" w:themeColor="background1"/>
      <w:kern w:val="28"/>
      <w:sz w:val="72"/>
    </w:rPr>
  </w:style>
  <w:style w:type="character" w:customStyle="1" w:styleId="TitleChar">
    <w:name w:val="Title Char"/>
    <w:basedOn w:val="DefaultParagraphFont"/>
    <w:link w:val="Title"/>
    <w:uiPriority w:val="1"/>
    <w:rsid w:val="001C0CEC"/>
    <w:rPr>
      <w:rFonts w:asciiTheme="majorHAnsi" w:eastAsiaTheme="majorEastAsia" w:hAnsiTheme="majorHAnsi" w:cstheme="majorBidi"/>
      <w:b/>
      <w:caps/>
      <w:color w:val="FFFFFF" w:themeColor="background1"/>
      <w:kern w:val="28"/>
      <w:sz w:val="72"/>
      <w:shd w:val="clear" w:color="auto" w:fill="7E97AD" w:themeFill="accent1"/>
    </w:rPr>
  </w:style>
  <w:style w:type="paragraph" w:styleId="TOAHeading">
    <w:name w:val="toa heading"/>
    <w:basedOn w:val="Normal"/>
    <w:next w:val="Normal"/>
    <w:uiPriority w:val="99"/>
    <w:semiHidden/>
    <w:unhideWhenUsed/>
    <w:pPr>
      <w:spacing w:before="120"/>
    </w:pPr>
    <w:rPr>
      <w:rFonts w:asciiTheme="majorHAnsi" w:eastAsiaTheme="majorEastAsia" w:hAnsiTheme="majorHAnsi" w:cstheme="majorBidi"/>
      <w:b/>
      <w:bCs/>
      <w:sz w:val="24"/>
    </w:rPr>
  </w:style>
  <w:style w:type="paragraph" w:styleId="TOC1">
    <w:name w:val="toc 1"/>
    <w:basedOn w:val="Normal"/>
    <w:next w:val="Heading1"/>
    <w:autoRedefine/>
    <w:uiPriority w:val="39"/>
    <w:pPr>
      <w:tabs>
        <w:tab w:val="right" w:leader="underscore" w:pos="9090"/>
      </w:tabs>
      <w:spacing w:after="100"/>
    </w:pPr>
    <w:rPr>
      <w:noProof/>
      <w:color w:val="7F7F7F" w:themeColor="text1" w:themeTint="80"/>
      <w:sz w:val="22"/>
    </w:rPr>
  </w:style>
  <w:style w:type="paragraph" w:styleId="TOC2">
    <w:name w:val="toc 2"/>
    <w:basedOn w:val="Normal"/>
    <w:next w:val="Heading2"/>
    <w:autoRedefine/>
    <w:uiPriority w:val="4"/>
    <w:pPr>
      <w:spacing w:after="100"/>
      <w:ind w:left="220"/>
    </w:pPr>
  </w:style>
  <w:style w:type="paragraph" w:styleId="TOC3">
    <w:name w:val="toc 3"/>
    <w:basedOn w:val="Normal"/>
    <w:next w:val="Normal"/>
    <w:autoRedefine/>
    <w:uiPriority w:val="4"/>
    <w:semiHidden/>
    <w:unhideWhenUsed/>
    <w:pPr>
      <w:spacing w:after="100"/>
      <w:ind w:left="440"/>
    </w:pPr>
  </w:style>
  <w:style w:type="paragraph" w:styleId="TOC4">
    <w:name w:val="toc 4"/>
    <w:basedOn w:val="Normal"/>
    <w:next w:val="Normal"/>
    <w:autoRedefine/>
    <w:uiPriority w:val="39"/>
    <w:semiHidden/>
    <w:unhideWhenUsed/>
    <w:pPr>
      <w:spacing w:after="100"/>
      <w:ind w:left="660"/>
    </w:pPr>
  </w:style>
  <w:style w:type="paragraph" w:styleId="TOC5">
    <w:name w:val="toc 5"/>
    <w:basedOn w:val="Normal"/>
    <w:next w:val="Normal"/>
    <w:autoRedefine/>
    <w:uiPriority w:val="39"/>
    <w:semiHidden/>
    <w:unhideWhenUsed/>
    <w:pPr>
      <w:spacing w:after="100"/>
      <w:ind w:left="880"/>
    </w:pPr>
  </w:style>
  <w:style w:type="paragraph" w:styleId="TOC6">
    <w:name w:val="toc 6"/>
    <w:basedOn w:val="Normal"/>
    <w:next w:val="Normal"/>
    <w:autoRedefine/>
    <w:uiPriority w:val="39"/>
    <w:semiHidden/>
    <w:unhideWhenUsed/>
    <w:pPr>
      <w:spacing w:after="100"/>
      <w:ind w:left="1100"/>
    </w:pPr>
  </w:style>
  <w:style w:type="paragraph" w:styleId="TOC7">
    <w:name w:val="toc 7"/>
    <w:basedOn w:val="Normal"/>
    <w:next w:val="Normal"/>
    <w:autoRedefine/>
    <w:uiPriority w:val="39"/>
    <w:semiHidden/>
    <w:unhideWhenUsed/>
    <w:pPr>
      <w:spacing w:after="100"/>
      <w:ind w:left="1320"/>
    </w:pPr>
  </w:style>
  <w:style w:type="paragraph" w:styleId="TOC8">
    <w:name w:val="toc 8"/>
    <w:basedOn w:val="Normal"/>
    <w:next w:val="Normal"/>
    <w:autoRedefine/>
    <w:uiPriority w:val="39"/>
    <w:semiHidden/>
    <w:unhideWhenUsed/>
    <w:pPr>
      <w:spacing w:after="100"/>
      <w:ind w:left="1540"/>
    </w:pPr>
  </w:style>
  <w:style w:type="paragraph" w:styleId="TOC9">
    <w:name w:val="toc 9"/>
    <w:basedOn w:val="Normal"/>
    <w:next w:val="Normal"/>
    <w:autoRedefine/>
    <w:uiPriority w:val="39"/>
    <w:semiHidden/>
    <w:unhideWhenUsed/>
    <w:pPr>
      <w:spacing w:after="100"/>
      <w:ind w:left="1760"/>
    </w:pPr>
  </w:style>
  <w:style w:type="paragraph" w:styleId="TOCHeading">
    <w:name w:val="TOC Heading"/>
    <w:basedOn w:val="Heading1"/>
    <w:uiPriority w:val="3"/>
    <w:rsid w:val="002D2C14"/>
    <w:pPr>
      <w:outlineLvl w:val="9"/>
    </w:pPr>
  </w:style>
  <w:style w:type="character" w:customStyle="1" w:styleId="NoSpacingChar">
    <w:name w:val="No Spacing Char"/>
    <w:basedOn w:val="DefaultParagraphFont"/>
    <w:link w:val="NoSpacing"/>
    <w:uiPriority w:val="11"/>
    <w:rsid w:val="006216E8"/>
  </w:style>
  <w:style w:type="paragraph" w:customStyle="1" w:styleId="TableHeading">
    <w:name w:val="Table Heading"/>
    <w:basedOn w:val="Normal"/>
    <w:uiPriority w:val="9"/>
    <w:qFormat/>
    <w:rsid w:val="004B2D20"/>
    <w:pPr>
      <w:keepNext/>
      <w:pBdr>
        <w:top w:val="single" w:sz="4" w:space="1" w:color="7E97AD" w:themeColor="accent1"/>
        <w:left w:val="single" w:sz="4" w:space="5" w:color="7E97AD" w:themeColor="accent1"/>
        <w:bottom w:val="single" w:sz="4" w:space="2" w:color="7E97AD" w:themeColor="accent1"/>
        <w:right w:val="single" w:sz="4" w:space="5" w:color="7E97AD" w:themeColor="accent1"/>
      </w:pBdr>
      <w:shd w:val="clear" w:color="auto" w:fill="7E97AD" w:themeFill="accent1"/>
      <w:spacing w:before="0" w:after="0" w:line="240" w:lineRule="auto"/>
      <w:ind w:left="115" w:right="144"/>
    </w:pPr>
    <w:rPr>
      <w:rFonts w:asciiTheme="majorHAnsi" w:eastAsiaTheme="majorEastAsia" w:hAnsiTheme="majorHAnsi" w:cstheme="majorBidi"/>
      <w:caps/>
      <w:color w:val="FFFFFF" w:themeColor="background1"/>
      <w:sz w:val="24"/>
    </w:rPr>
  </w:style>
  <w:style w:type="paragraph" w:customStyle="1" w:styleId="CompanyInfo">
    <w:name w:val="Company Info"/>
    <w:basedOn w:val="Normal"/>
    <w:uiPriority w:val="14"/>
    <w:qFormat/>
    <w:pPr>
      <w:spacing w:after="40"/>
    </w:pPr>
  </w:style>
  <w:style w:type="table" w:customStyle="1" w:styleId="FinancialTable">
    <w:name w:val="Financial Table"/>
    <w:basedOn w:val="TableNormal"/>
    <w:uiPriority w:val="99"/>
    <w:rsid w:val="001E2D1A"/>
    <w:pPr>
      <w:spacing w:after="0" w:line="240" w:lineRule="auto"/>
      <w:ind w:left="144" w:right="144"/>
      <w:jc w:val="right"/>
    </w:pPr>
    <w:tblP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0" w:type="dxa"/>
        <w:right w:w="0" w:type="dxa"/>
      </w:tblCellMar>
    </w:tblPr>
    <w:tcPr>
      <w:vAlign w:val="center"/>
    </w:tcPr>
    <w:tblStylePr w:type="firstRow">
      <w:pPr>
        <w:wordWrap/>
        <w:jc w:val="right"/>
      </w:pPr>
      <w:rPr>
        <w:rFonts w:asciiTheme="majorHAnsi" w:hAnsiTheme="majorHAnsi"/>
        <w:b w:val="0"/>
        <w:caps/>
        <w:smallCaps w:val="0"/>
        <w:color w:val="7E97AD" w:themeColor="accent1"/>
        <w:sz w:val="22"/>
      </w:rPr>
      <w:tblPr/>
      <w:trPr>
        <w:cantSplit/>
        <w:tblHeader/>
      </w:trPr>
      <w:tcPr>
        <w:vAlign w:val="bottom"/>
      </w:tcPr>
    </w:tblStylePr>
    <w:tblStylePr w:type="firstCol">
      <w:pPr>
        <w:wordWrap/>
        <w:jc w:val="left"/>
      </w:pPr>
      <w:rPr>
        <w:b w:val="0"/>
        <w:i w:val="0"/>
      </w:rPr>
    </w:tblStylePr>
    <w:tblStylePr w:type="nwCell">
      <w:pPr>
        <w:wordWrap/>
        <w:jc w:val="left"/>
      </w:pPr>
    </w:tblStylePr>
  </w:style>
  <w:style w:type="numbering" w:customStyle="1" w:styleId="AnnualReport">
    <w:name w:val="Annual Report"/>
    <w:uiPriority w:val="99"/>
    <w:pPr>
      <w:numPr>
        <w:numId w:val="17"/>
      </w:numPr>
    </w:pPr>
  </w:style>
  <w:style w:type="paragraph" w:customStyle="1" w:styleId="Abstract">
    <w:name w:val="Abstract"/>
    <w:basedOn w:val="Normal"/>
    <w:uiPriority w:val="3"/>
    <w:qFormat/>
    <w:rsid w:val="001C0CEC"/>
    <w:pPr>
      <w:spacing w:before="360" w:after="0" w:line="240" w:lineRule="auto"/>
      <w:ind w:left="432" w:right="1080"/>
      <w:contextualSpacing/>
    </w:pPr>
    <w:rPr>
      <w:b/>
      <w:i/>
      <w:iCs/>
      <w:color w:val="7F7F7F" w:themeColor="text1" w:themeTint="80"/>
      <w:sz w:val="28"/>
    </w:rPr>
  </w:style>
  <w:style w:type="paragraph" w:customStyle="1" w:styleId="TableText">
    <w:name w:val="Table Text"/>
    <w:basedOn w:val="Normal"/>
    <w:uiPriority w:val="13"/>
    <w:qFormat/>
    <w:pPr>
      <w:spacing w:before="60" w:after="60" w:line="240" w:lineRule="auto"/>
      <w:ind w:left="144" w:right="144"/>
    </w:pPr>
  </w:style>
  <w:style w:type="character" w:customStyle="1" w:styleId="Heading3Char">
    <w:name w:val="Heading 3 Char"/>
    <w:basedOn w:val="DefaultParagraphFont"/>
    <w:link w:val="Heading3"/>
    <w:uiPriority w:val="5"/>
    <w:rsid w:val="002D2C14"/>
    <w:rPr>
      <w:rFonts w:asciiTheme="majorHAnsi" w:eastAsiaTheme="majorEastAsia" w:hAnsiTheme="majorHAnsi" w:cstheme="majorBidi"/>
      <w:color w:val="394B5A" w:themeColor="accent1" w:themeShade="7F"/>
      <w:kern w:val="20"/>
      <w:sz w:val="24"/>
      <w:szCs w:val="24"/>
    </w:rPr>
  </w:style>
  <w:style w:type="paragraph" w:styleId="Quote">
    <w:name w:val="Quote"/>
    <w:basedOn w:val="Normal"/>
    <w:next w:val="Normal"/>
    <w:link w:val="QuoteChar"/>
    <w:uiPriority w:val="9"/>
    <w:semiHidden/>
    <w:unhideWhenUsed/>
    <w:qFormat/>
    <w:rsid w:val="006924B0"/>
    <w:pPr>
      <w:spacing w:before="200"/>
      <w:jc w:val="center"/>
    </w:pPr>
    <w:rPr>
      <w:i/>
      <w:iCs/>
      <w:color w:val="404040" w:themeColor="text1" w:themeTint="BF"/>
    </w:rPr>
  </w:style>
  <w:style w:type="character" w:customStyle="1" w:styleId="QuoteChar">
    <w:name w:val="Quote Char"/>
    <w:basedOn w:val="DefaultParagraphFont"/>
    <w:link w:val="Quote"/>
    <w:uiPriority w:val="9"/>
    <w:semiHidden/>
    <w:rsid w:val="006924B0"/>
    <w:rPr>
      <w:i/>
      <w:iCs/>
      <w:color w:val="404040" w:themeColor="text1" w:themeTint="BF"/>
      <w:kern w:val="20"/>
    </w:rPr>
  </w:style>
  <w:style w:type="character" w:customStyle="1" w:styleId="Heading4Char">
    <w:name w:val="Heading 4 Char"/>
    <w:basedOn w:val="DefaultParagraphFont"/>
    <w:link w:val="Heading4"/>
    <w:uiPriority w:val="5"/>
    <w:rsid w:val="00DD118F"/>
    <w:rPr>
      <w:rFonts w:asciiTheme="majorHAnsi" w:eastAsiaTheme="majorEastAsia" w:hAnsiTheme="majorHAnsi" w:cstheme="majorBidi"/>
      <w:i/>
      <w:iCs/>
      <w:color w:val="577188" w:themeColor="accent1" w:themeShade="BF"/>
      <w:kern w:val="20"/>
    </w:rPr>
  </w:style>
  <w:style w:type="character" w:customStyle="1" w:styleId="tgc">
    <w:name w:val="_tgc"/>
    <w:basedOn w:val="DefaultParagraphFont"/>
    <w:rsid w:val="00E8430B"/>
  </w:style>
  <w:style w:type="paragraph" w:customStyle="1" w:styleId="Default">
    <w:name w:val="Default"/>
    <w:rsid w:val="000508F9"/>
    <w:pPr>
      <w:autoSpaceDE w:val="0"/>
      <w:autoSpaceDN w:val="0"/>
      <w:adjustRightInd w:val="0"/>
      <w:spacing w:before="0" w:after="0" w:line="240" w:lineRule="auto"/>
    </w:pPr>
    <w:rPr>
      <w:rFonts w:ascii="Calibri" w:hAnsi="Calibri" w:cs="Calibri"/>
      <w:color w:val="000000"/>
      <w:sz w:val="24"/>
      <w:szCs w:val="24"/>
      <w:lang w:val="en-GB"/>
    </w:rPr>
  </w:style>
  <w:style w:type="character" w:styleId="UnresolvedMention">
    <w:name w:val="Unresolved Mention"/>
    <w:basedOn w:val="DefaultParagraphFont"/>
    <w:uiPriority w:val="99"/>
    <w:semiHidden/>
    <w:unhideWhenUsed/>
    <w:rsid w:val="00E01F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3733129">
      <w:bodyDiv w:val="1"/>
      <w:marLeft w:val="0"/>
      <w:marRight w:val="0"/>
      <w:marTop w:val="0"/>
      <w:marBottom w:val="0"/>
      <w:divBdr>
        <w:top w:val="none" w:sz="0" w:space="0" w:color="auto"/>
        <w:left w:val="none" w:sz="0" w:space="0" w:color="auto"/>
        <w:bottom w:val="none" w:sz="0" w:space="0" w:color="auto"/>
        <w:right w:val="none" w:sz="0" w:space="0" w:color="auto"/>
      </w:divBdr>
    </w:div>
    <w:div w:id="1910339236">
      <w:bodyDiv w:val="1"/>
      <w:marLeft w:val="0"/>
      <w:marRight w:val="0"/>
      <w:marTop w:val="0"/>
      <w:marBottom w:val="0"/>
      <w:divBdr>
        <w:top w:val="none" w:sz="0" w:space="0" w:color="auto"/>
        <w:left w:val="none" w:sz="0" w:space="0" w:color="auto"/>
        <w:bottom w:val="none" w:sz="0" w:space="0" w:color="auto"/>
        <w:right w:val="none" w:sz="0" w:space="0" w:color="auto"/>
      </w:divBdr>
    </w:div>
    <w:div w:id="2113671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image" Target="media/image6.jpg"/><Relationship Id="rId26" Type="http://schemas.openxmlformats.org/officeDocument/2006/relationships/hyperlink" Target="http://www.ico.org.uk" TargetMode="External"/><Relationship Id="rId3" Type="http://schemas.openxmlformats.org/officeDocument/2006/relationships/customXml" Target="../customXml/item3.xml"/><Relationship Id="rId21" Type="http://schemas.openxmlformats.org/officeDocument/2006/relationships/hyperlink" Target="https://gbr01.safelinks.protection.outlook.com/?url=https%3A%2F%2Faccurx.lt.emlnk3.com%2FProd%2Flink-tracker%3FredirectUrl%3DaHR0cHMlM0ElMkYlMkZ3d3cubmhzLnVrJTJGdXNpbmctdGhlLW5ocyUyRm5ocy1zZXJ2aWNlcyUyRnRoZS1uaHMtYXBwJTJGcHJpdmFjeSUyRiUzRnV0bV9zb3VyY2UlM0RBY3RpdmVDYW1wYWlnbiUyNnV0bV9tZWRpdW0lM0RlbWFpbCUyNnV0bV9jb250ZW50JTNEV2UlMkJyZSUyQmludGVncmF0aW5nJTJCbW9yZSUyQndpdGglMkJ0aGUlMkJOSFMlMkJBcHAlMkIlMjVGMCUyNTlGJTI1OTMlMjVCMSUyNnV0bV9jYW1wYWlnbiUzRE5IUyUyQkFwcCUyQkJhdGNoJTJCUHJlLUxhdW5jaCUyQi0lMkIxNSUyQkF1Z3VzdCUyQjIwMjM%3D%26sig%3D7jmc4MRGazUbEmEQRxHd71JHweHAmAnspYpSRwN28sb%26iat%3D1692092193%26a%3D%257C%257C799334611%257C%257C%26account%3Daccurx.activehosted.com%26email%3DlS%252B2LrMVNmdWGYzonXsPYAe%252F2FkopjBHe6n2Rfe4x8k4XceA6w%253D%253D%253ApQktdOfFSPbkgJpSvu2mAiAQgEaZHizU%26s%3D0539436912eece63fefac194ba2ace70%26i%3D4120A28409A34A58022&amp;data=05%7C01%7Ckerry.kay1%40nhs.net%7C1a8d442b95124230f6a208db9d85adff%7C37c354b285b047f5b22207b48d774ee3%7C0%7C0%7C638276969691694983%7CUnknown%7CTWFpbGZsb3d8eyJWIjoiMC4wLjAwMDAiLCJQIjoiV2luMzIiLCJBTiI6Ik1haWwiLCJXVCI6Mn0%3D%7C3000%7C%7C%7C&amp;sdata=6OuCOPgP4f1yDvU4PQKSjm0Dodx6E8akL1DdcGseWMM%3D&amp;reserved=0"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5.jpg"/><Relationship Id="rId25" Type="http://schemas.openxmlformats.org/officeDocument/2006/relationships/hyperlink" Target="http://www.ayton-snainton.co.uk"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digital.nhs.uk/services/national-data-opt-out-programme" TargetMode="External"/><Relationship Id="rId20" Type="http://schemas.openxmlformats.org/officeDocument/2006/relationships/image" Target="media/image8.jp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1.jpg"/><Relationship Id="rId32"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image" Target="media/image4.jpg"/><Relationship Id="rId23" Type="http://schemas.openxmlformats.org/officeDocument/2006/relationships/image" Target="media/image10.jpg"/><Relationship Id="rId28" Type="http://schemas.openxmlformats.org/officeDocument/2006/relationships/hyperlink" Target="https://www.ico.org.uk" TargetMode="External"/><Relationship Id="rId10" Type="http://schemas.openxmlformats.org/officeDocument/2006/relationships/endnotes" Target="endnotes.xml"/><Relationship Id="rId19" Type="http://schemas.openxmlformats.org/officeDocument/2006/relationships/image" Target="media/image7.jp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g"/><Relationship Id="rId22" Type="http://schemas.openxmlformats.org/officeDocument/2006/relationships/image" Target="media/image9.jpg"/><Relationship Id="rId27" Type="http://schemas.openxmlformats.org/officeDocument/2006/relationships/hyperlink" Target="mailto:casework@ico.org.uk" TargetMode="External"/><Relationship Id="rId30" Type="http://schemas.openxmlformats.org/officeDocument/2006/relationships/footer" Target="footer1.xml"/><Relationship Id="rId8"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eve%20Bromham\AppData\Roaming\Microsoft\Templates\Annual%20report%20with%20cover%20photo%20(Timeless%20design).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45C0747C6D544B4BB3C4015E5B9A581"/>
        <w:category>
          <w:name w:val="General"/>
          <w:gallery w:val="placeholder"/>
        </w:category>
        <w:types>
          <w:type w:val="bbPlcHdr"/>
        </w:types>
        <w:behaviors>
          <w:behavior w:val="content"/>
        </w:behaviors>
        <w:guid w:val="{AE2F312A-721B-4853-8673-F5CD0CF9AA79}"/>
      </w:docPartPr>
      <w:docPartBody>
        <w:p w:rsidR="008C3791" w:rsidRDefault="002724A2">
          <w:pPr>
            <w:pStyle w:val="B45C0747C6D544B4BB3C4015E5B9A581"/>
          </w:pPr>
          <w:r w:rsidRPr="001C0CEC">
            <w:t>You can add an abstract or other key statement here. An abstract is typically a short summary of the document content.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GGothicM">
    <w:altName w:val="HGｺﾞｼｯｸM"/>
    <w:panose1 w:val="00000000000000000000"/>
    <w:charset w:val="80"/>
    <w:family w:val="roman"/>
    <w:notTrueType/>
    <w:pitch w:val="default"/>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GMinchoB">
    <w:altName w:val="HG明朝B"/>
    <w:panose1 w:val="00000000000000000000"/>
    <w:charset w:val="80"/>
    <w:family w:val="roman"/>
    <w:notTrueType/>
    <w:pitch w:val="default"/>
  </w:font>
  <w:font w:name="Open Sans">
    <w:charset w:val="00"/>
    <w:family w:val="swiss"/>
    <w:pitch w:val="variable"/>
    <w:sig w:usb0="E00002EF" w:usb1="4000205B" w:usb2="00000028" w:usb3="00000000" w:csb0="0000019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29609D"/>
    <w:multiLevelType w:val="multilevel"/>
    <w:tmpl w:val="DE969D0E"/>
    <w:lvl w:ilvl="0">
      <w:start w:val="1"/>
      <w:numFmt w:val="decimal"/>
      <w:lvlText w:val="%1."/>
      <w:lvlJc w:val="left"/>
      <w:pPr>
        <w:ind w:left="360" w:hanging="360"/>
      </w:pPr>
      <w:rPr>
        <w:rFonts w:hint="default"/>
      </w:rPr>
    </w:lvl>
    <w:lvl w:ilvl="1">
      <w:start w:val="1"/>
      <w:numFmt w:val="decimal"/>
      <w:pStyle w:val="ListNumber"/>
      <w:lvlText w:val="%1.%2"/>
      <w:lvlJc w:val="left"/>
      <w:pPr>
        <w:tabs>
          <w:tab w:val="num" w:pos="432"/>
        </w:tabs>
        <w:ind w:left="432" w:hanging="432"/>
      </w:pPr>
      <w:rPr>
        <w:rFonts w:hint="default"/>
      </w:rPr>
    </w:lvl>
    <w:lvl w:ilvl="2">
      <w:start w:val="1"/>
      <w:numFmt w:val="lowerLetter"/>
      <w:lvlText w:val="%3."/>
      <w:lvlJc w:val="left"/>
      <w:pPr>
        <w:ind w:left="792" w:hanging="360"/>
      </w:pPr>
      <w:rPr>
        <w:rFonts w:hint="default"/>
      </w:rPr>
    </w:lvl>
    <w:lvl w:ilvl="3">
      <w:start w:val="1"/>
      <w:numFmt w:val="lowerRoman"/>
      <w:lvlText w:val="%4."/>
      <w:lvlJc w:val="left"/>
      <w:pPr>
        <w:ind w:left="1152" w:hanging="360"/>
      </w:pPr>
      <w:rPr>
        <w:rFonts w:hint="default"/>
      </w:rPr>
    </w:lvl>
    <w:lvl w:ilvl="4">
      <w:start w:val="1"/>
      <w:numFmt w:val="lowerLetter"/>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abstractNum w:abstractNumId="1" w15:restartNumberingAfterBreak="0">
    <w:nsid w:val="7E431919"/>
    <w:multiLevelType w:val="multilevel"/>
    <w:tmpl w:val="4E86DA0E"/>
    <w:lvl w:ilvl="0">
      <w:start w:val="1"/>
      <w:numFmt w:val="bullet"/>
      <w:pStyle w:val="ListBullet"/>
      <w:lvlText w:val=""/>
      <w:lvlJc w:val="left"/>
      <w:pPr>
        <w:tabs>
          <w:tab w:val="num" w:pos="360"/>
        </w:tabs>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16cid:durableId="1875846487">
    <w:abstractNumId w:val="1"/>
  </w:num>
  <w:num w:numId="2" w16cid:durableId="111995520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E4533"/>
    <w:rsid w:val="000B48C1"/>
    <w:rsid w:val="00164653"/>
    <w:rsid w:val="002724A2"/>
    <w:rsid w:val="002F3AD4"/>
    <w:rsid w:val="00354937"/>
    <w:rsid w:val="00536BF4"/>
    <w:rsid w:val="00552F93"/>
    <w:rsid w:val="005E4533"/>
    <w:rsid w:val="005E4BD7"/>
    <w:rsid w:val="00695644"/>
    <w:rsid w:val="008573AE"/>
    <w:rsid w:val="008A6C84"/>
    <w:rsid w:val="008C3791"/>
    <w:rsid w:val="009A0188"/>
    <w:rsid w:val="00A241B0"/>
    <w:rsid w:val="00A72DD3"/>
    <w:rsid w:val="00AE54D2"/>
    <w:rsid w:val="00B74DE1"/>
    <w:rsid w:val="00C53ACE"/>
    <w:rsid w:val="00C910CE"/>
    <w:rsid w:val="00D370B2"/>
    <w:rsid w:val="00E67E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8" w:unhideWhenUsed="1" w:qFormat="1"/>
    <w:lsdException w:name="List Number" w:semiHidden="1" w:uiPriority="1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7"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45C0747C6D544B4BB3C4015E5B9A581">
    <w:name w:val="B45C0747C6D544B4BB3C4015E5B9A581"/>
  </w:style>
  <w:style w:type="paragraph" w:styleId="Date">
    <w:name w:val="Date"/>
    <w:basedOn w:val="Normal"/>
    <w:link w:val="DateChar"/>
    <w:uiPriority w:val="7"/>
    <w:qFormat/>
    <w:pPr>
      <w:spacing w:before="40" w:line="288" w:lineRule="auto"/>
    </w:pPr>
    <w:rPr>
      <w:rFonts w:eastAsiaTheme="minorHAnsi"/>
      <w:color w:val="595959" w:themeColor="text1" w:themeTint="A6"/>
      <w:kern w:val="20"/>
      <w:sz w:val="20"/>
      <w:szCs w:val="20"/>
      <w:lang w:val="en-US" w:eastAsia="ja-JP"/>
    </w:rPr>
  </w:style>
  <w:style w:type="character" w:customStyle="1" w:styleId="DateChar">
    <w:name w:val="Date Char"/>
    <w:basedOn w:val="DefaultParagraphFont"/>
    <w:link w:val="Date"/>
    <w:uiPriority w:val="7"/>
    <w:rPr>
      <w:rFonts w:eastAsiaTheme="minorHAnsi"/>
      <w:color w:val="595959" w:themeColor="text1" w:themeTint="A6"/>
      <w:kern w:val="20"/>
      <w:sz w:val="20"/>
      <w:szCs w:val="20"/>
      <w:lang w:val="en-US" w:eastAsia="ja-JP"/>
    </w:rPr>
  </w:style>
  <w:style w:type="paragraph" w:styleId="ListBullet">
    <w:name w:val="List Bullet"/>
    <w:basedOn w:val="Normal"/>
    <w:uiPriority w:val="8"/>
    <w:qFormat/>
    <w:pPr>
      <w:numPr>
        <w:numId w:val="1"/>
      </w:numPr>
      <w:spacing w:before="40" w:after="40" w:line="288" w:lineRule="auto"/>
    </w:pPr>
    <w:rPr>
      <w:rFonts w:eastAsiaTheme="minorHAnsi"/>
      <w:color w:val="595959" w:themeColor="text1" w:themeTint="A6"/>
      <w:kern w:val="20"/>
      <w:sz w:val="20"/>
      <w:szCs w:val="20"/>
      <w:lang w:val="en-US" w:eastAsia="ja-JP"/>
    </w:rPr>
  </w:style>
  <w:style w:type="paragraph" w:styleId="ListNumber">
    <w:name w:val="List Number"/>
    <w:basedOn w:val="Normal"/>
    <w:uiPriority w:val="10"/>
    <w:qFormat/>
    <w:pPr>
      <w:numPr>
        <w:ilvl w:val="1"/>
        <w:numId w:val="2"/>
      </w:numPr>
      <w:tabs>
        <w:tab w:val="left" w:pos="432"/>
      </w:tabs>
      <w:spacing w:before="40" w:line="288" w:lineRule="auto"/>
      <w:contextualSpacing/>
    </w:pPr>
    <w:rPr>
      <w:rFonts w:eastAsiaTheme="minorHAnsi"/>
      <w:color w:val="595959" w:themeColor="text1" w:themeTint="A6"/>
      <w:kern w:val="20"/>
      <w:sz w:val="20"/>
      <w:szCs w:val="20"/>
      <w:lang w:val="en-US" w:eastAsia="ja-JP"/>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Annual Report">
  <a:themeElements>
    <a:clrScheme name="word_design_set">
      <a:dk1>
        <a:srgbClr val="000000"/>
      </a:dk1>
      <a:lt1>
        <a:srgbClr val="FFFFFF"/>
      </a:lt1>
      <a:dk2>
        <a:srgbClr val="1F2123"/>
      </a:dk2>
      <a:lt2>
        <a:srgbClr val="DC9E1F"/>
      </a:lt2>
      <a:accent1>
        <a:srgbClr val="7E97AD"/>
      </a:accent1>
      <a:accent2>
        <a:srgbClr val="CC8E60"/>
      </a:accent2>
      <a:accent3>
        <a:srgbClr val="7A6A60"/>
      </a:accent3>
      <a:accent4>
        <a:srgbClr val="B4936D"/>
      </a:accent4>
      <a:accent5>
        <a:srgbClr val="67787B"/>
      </a:accent5>
      <a:accent6>
        <a:srgbClr val="9D936F"/>
      </a:accent6>
      <a:hlink>
        <a:srgbClr val="646464"/>
      </a:hlink>
      <a:folHlink>
        <a:srgbClr val="969696"/>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This is a comprehensive overview on how your personal information is used by our General Practice, the NHS (National Health Service) and our healthcare partner organisations.
Please feel free to ask a member of our staff for separate leaflets on specific data privacy topics such as our Data Privacy guidance for children. Our full contact details are included at the end of this document.</Abstract>
  <CompanyAddress/>
  <CompanyPhone/>
  <CompanyFax/>
  <CompanyEmail/>
</CoverPageProperties>
</file>

<file path=customXml/item2.xml><?xml version="1.0" encoding="utf-8"?>
<b:Sources xmlns:b="http://schemas.openxmlformats.org/officeDocument/2006/bibliography" SelectedStyle="\APA.XSL" StyleName="APA"/>
</file>

<file path=customXml/item3.xml><?xml version="1.0" encoding="utf-8"?>
<mappings xmlns="http://schemas.microsoft.com/pics">
  <picture>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</picture>
</mappings>
</file>

<file path=customXml/item4.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FABEA6F-BA16-49F8-8A41-73199F58B5CF}">
  <ds:schemaRefs>
    <ds:schemaRef ds:uri="http://schemas.openxmlformats.org/officeDocument/2006/bibliography"/>
  </ds:schemaRefs>
</ds:datastoreItem>
</file>

<file path=customXml/itemProps3.xml><?xml version="1.0" encoding="utf-8"?>
<ds:datastoreItem xmlns:ds="http://schemas.openxmlformats.org/officeDocument/2006/customXml" ds:itemID="{F679E4D8-73D9-412D-B716-777944E71373}">
  <ds:schemaRefs>
    <ds:schemaRef ds:uri="http://schemas.microsoft.com/pics"/>
  </ds:schemaRefs>
</ds:datastoreItem>
</file>

<file path=customXml/itemProps4.xml><?xml version="1.0" encoding="utf-8"?>
<ds:datastoreItem xmlns:ds="http://schemas.openxmlformats.org/officeDocument/2006/customXml" ds:itemID="{2F9ACB35-92A4-4D3B-9363-393A8469DF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Annual report with cover photo (Timeless design)</Template>
  <TotalTime>6</TotalTime>
  <Pages>25</Pages>
  <Words>6985</Words>
  <Characters>39820</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WSYBCSU IT Services</Company>
  <LinksUpToDate>false</LinksUpToDate>
  <CharactersWithSpaces>46712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Steve Bromham</dc:creator>
  <cp:lastModifiedBy>KAY, Kerry (AYTON AND SNAINTON MEDICAL PRACTICE)</cp:lastModifiedBy>
  <cp:revision>2</cp:revision>
  <cp:lastPrinted>2018-05-09T11:52:00Z</cp:lastPrinted>
  <dcterms:created xsi:type="dcterms:W3CDTF">2026-05-27T14:30:00Z</dcterms:created>
  <dcterms:modified xsi:type="dcterms:W3CDTF">2026-05-27T14:30:00Z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TC028965939991</vt:lpwstr>
  </property>
</Properties>
</file>